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7F7D6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7F24E" wp14:editId="38C7571B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0D437" w14:textId="77777777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151A10BC" w14:textId="77777777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03.2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7F24E"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1F40D437" w14:textId="77777777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151A10BC" w14:textId="77777777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03.2</w:t>
                      </w:r>
                    </w:p>
                  </w:txbxContent>
                </v:textbox>
              </v:shape>
            </w:pict>
          </mc:Fallback>
        </mc:AlternateContent>
      </w:r>
    </w:p>
    <w:p w14:paraId="6F2B9B44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Abordagem X</w:t>
      </w:r>
    </w:p>
    <w:p w14:paraId="76F06753" w14:textId="77777777" w:rsidR="005B52C0" w:rsidRPr="006A7DD2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 w:rsidRPr="006A7DD2">
        <w:rPr>
          <w:rFonts w:ascii="Verdana" w:hAnsi="Verdana"/>
          <w:b/>
          <w:color w:val="000000"/>
          <w:sz w:val="22"/>
          <w:szCs w:val="22"/>
        </w:rPr>
        <w:t>I</w:t>
      </w:r>
      <w:r>
        <w:rPr>
          <w:rFonts w:ascii="Verdana" w:hAnsi="Verdana"/>
          <w:b/>
          <w:color w:val="000000"/>
          <w:sz w:val="22"/>
          <w:szCs w:val="22"/>
        </w:rPr>
        <w:t>.</w:t>
      </w:r>
      <w:r w:rsidRPr="006A7DD2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8D2B2F">
        <w:rPr>
          <w:rFonts w:ascii="Verdana" w:hAnsi="Verdana"/>
          <w:b/>
          <w:color w:val="000000"/>
          <w:sz w:val="22"/>
          <w:szCs w:val="22"/>
        </w:rPr>
        <w:t>Visão Geral</w:t>
      </w:r>
      <w:r>
        <w:rPr>
          <w:rFonts w:ascii="Verdana" w:hAnsi="Verdana"/>
          <w:b/>
          <w:color w:val="000000"/>
          <w:sz w:val="22"/>
          <w:szCs w:val="22"/>
        </w:rPr>
        <w:t xml:space="preserve"> Abordagem X</w:t>
      </w:r>
    </w:p>
    <w:p w14:paraId="7FB8E371" w14:textId="77777777" w:rsidR="005B52C0" w:rsidRDefault="005B52C0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03CC86B5" w14:textId="605A4E88" w:rsidR="003E52F7" w:rsidRDefault="003E52F7" w:rsidP="00937315">
      <w:pPr>
        <w:pStyle w:val="Standard"/>
        <w:jc w:val="center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 w:themeColor="text1"/>
          <w:sz w:val="18"/>
          <w:szCs w:val="18"/>
        </w:rPr>
        <w:t>Tabela 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</w:rPr>
        <w:t>Visão Geral Abordagem X</w:t>
      </w:r>
      <w:r w:rsidR="00962BBE">
        <w:rPr>
          <w:rFonts w:ascii="Verdana" w:hAnsi="Verdana"/>
          <w:color w:val="000000" w:themeColor="text1"/>
          <w:sz w:val="18"/>
          <w:szCs w:val="18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522"/>
        <w:gridCol w:w="1026"/>
        <w:gridCol w:w="958"/>
        <w:gridCol w:w="5210"/>
      </w:tblGrid>
      <w:tr w:rsidR="008D2B2F" w:rsidRPr="008D2B2F" w14:paraId="0D878277" w14:textId="77777777" w:rsidTr="008D2B2F">
        <w:trPr>
          <w:jc w:val="center"/>
        </w:trPr>
        <w:tc>
          <w:tcPr>
            <w:tcW w:w="9716" w:type="dxa"/>
            <w:gridSpan w:val="4"/>
            <w:shd w:val="clear" w:color="auto" w:fill="000000" w:themeFill="text1"/>
          </w:tcPr>
          <w:p w14:paraId="72FA75D6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Abordagem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 xml:space="preserve"> X</w:t>
            </w:r>
          </w:p>
        </w:tc>
      </w:tr>
      <w:tr w:rsidR="008D2B2F" w:rsidRPr="008D2B2F" w14:paraId="15040F00" w14:textId="77777777" w:rsidTr="008D2B2F">
        <w:trPr>
          <w:jc w:val="center"/>
        </w:trPr>
        <w:tc>
          <w:tcPr>
            <w:tcW w:w="2522" w:type="dxa"/>
            <w:shd w:val="clear" w:color="auto" w:fill="000000" w:themeFill="text1"/>
          </w:tcPr>
          <w:p w14:paraId="22A4BC1D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Item</w:t>
            </w:r>
          </w:p>
        </w:tc>
        <w:tc>
          <w:tcPr>
            <w:tcW w:w="1026" w:type="dxa"/>
            <w:shd w:val="clear" w:color="auto" w:fill="000000" w:themeFill="text1"/>
          </w:tcPr>
          <w:p w14:paraId="24D176CF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Sim</w:t>
            </w:r>
            <w:proofErr w:type="spellEnd"/>
          </w:p>
        </w:tc>
        <w:tc>
          <w:tcPr>
            <w:tcW w:w="958" w:type="dxa"/>
            <w:shd w:val="clear" w:color="auto" w:fill="000000" w:themeFill="text1"/>
          </w:tcPr>
          <w:p w14:paraId="12C7A79D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Não</w:t>
            </w:r>
            <w:proofErr w:type="spellEnd"/>
          </w:p>
        </w:tc>
        <w:tc>
          <w:tcPr>
            <w:tcW w:w="5210" w:type="dxa"/>
            <w:shd w:val="clear" w:color="auto" w:fill="000000" w:themeFill="text1"/>
          </w:tcPr>
          <w:p w14:paraId="1075DF4C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Observação</w:t>
            </w:r>
            <w:proofErr w:type="spellEnd"/>
          </w:p>
        </w:tc>
      </w:tr>
      <w:tr w:rsidR="008D2B2F" w:rsidRPr="008D2B2F" w14:paraId="4B25A0B8" w14:textId="77777777" w:rsidTr="008D2B2F">
        <w:trPr>
          <w:jc w:val="center"/>
        </w:trPr>
        <w:tc>
          <w:tcPr>
            <w:tcW w:w="2522" w:type="dxa"/>
            <w:vAlign w:val="center"/>
          </w:tcPr>
          <w:p w14:paraId="57C022CE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Baseada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em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 xml:space="preserve"> UML?</w:t>
            </w:r>
          </w:p>
        </w:tc>
        <w:tc>
          <w:tcPr>
            <w:tcW w:w="1026" w:type="dxa"/>
            <w:vAlign w:val="center"/>
          </w:tcPr>
          <w:p w14:paraId="01040E55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13A69006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77EFF20C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8D2B2F" w14:paraId="5A16F4C6" w14:textId="77777777" w:rsidTr="008D2B2F">
        <w:trPr>
          <w:jc w:val="center"/>
        </w:trPr>
        <w:tc>
          <w:tcPr>
            <w:tcW w:w="2522" w:type="dxa"/>
            <w:vAlign w:val="center"/>
          </w:tcPr>
          <w:p w14:paraId="7D9399B8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Perfil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>?</w:t>
            </w:r>
          </w:p>
        </w:tc>
        <w:tc>
          <w:tcPr>
            <w:tcW w:w="1026" w:type="dxa"/>
            <w:vAlign w:val="center"/>
          </w:tcPr>
          <w:p w14:paraId="227D10BF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2F82E41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5210" w:type="dxa"/>
            <w:vAlign w:val="center"/>
          </w:tcPr>
          <w:p w14:paraId="7613364C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8D2B2F" w14:paraId="067CC038" w14:textId="77777777" w:rsidTr="008D2B2F">
        <w:trPr>
          <w:jc w:val="center"/>
        </w:trPr>
        <w:tc>
          <w:tcPr>
            <w:tcW w:w="2522" w:type="dxa"/>
            <w:vAlign w:val="center"/>
          </w:tcPr>
          <w:p w14:paraId="3DB930D0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Processo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>?</w:t>
            </w:r>
          </w:p>
        </w:tc>
        <w:tc>
          <w:tcPr>
            <w:tcW w:w="1026" w:type="dxa"/>
            <w:vAlign w:val="center"/>
          </w:tcPr>
          <w:p w14:paraId="04927016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0E2AB47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5210" w:type="dxa"/>
            <w:vAlign w:val="center"/>
          </w:tcPr>
          <w:p w14:paraId="12D16783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2136F0" w14:paraId="081B8889" w14:textId="77777777" w:rsidTr="008D2B2F">
        <w:trPr>
          <w:jc w:val="center"/>
        </w:trPr>
        <w:tc>
          <w:tcPr>
            <w:tcW w:w="2522" w:type="dxa"/>
            <w:vAlign w:val="center"/>
          </w:tcPr>
          <w:p w14:paraId="7AE6E916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Estereótipos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>?</w:t>
            </w:r>
          </w:p>
        </w:tc>
        <w:tc>
          <w:tcPr>
            <w:tcW w:w="1026" w:type="dxa"/>
            <w:vAlign w:val="center"/>
          </w:tcPr>
          <w:p w14:paraId="0788F728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958" w:type="dxa"/>
            <w:vAlign w:val="center"/>
          </w:tcPr>
          <w:p w14:paraId="2C7E62AB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079C0940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>Estereótipos específicos, possuindo variações entre modelos.</w:t>
            </w:r>
          </w:p>
        </w:tc>
      </w:tr>
      <w:tr w:rsidR="008D2B2F" w:rsidRPr="002136F0" w14:paraId="607F8541" w14:textId="77777777" w:rsidTr="008D2B2F">
        <w:trPr>
          <w:jc w:val="center"/>
        </w:trPr>
        <w:tc>
          <w:tcPr>
            <w:tcW w:w="2522" w:type="dxa"/>
            <w:vAlign w:val="center"/>
          </w:tcPr>
          <w:p w14:paraId="2351B0A9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Diretrizes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>?</w:t>
            </w:r>
          </w:p>
        </w:tc>
        <w:tc>
          <w:tcPr>
            <w:tcW w:w="1026" w:type="dxa"/>
            <w:vAlign w:val="center"/>
          </w:tcPr>
          <w:p w14:paraId="0FF3026A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B046C4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5210" w:type="dxa"/>
            <w:vAlign w:val="center"/>
          </w:tcPr>
          <w:p w14:paraId="1D97B821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>Especificação de uso da abordagem através representação textual.</w:t>
            </w:r>
          </w:p>
        </w:tc>
      </w:tr>
    </w:tbl>
    <w:p w14:paraId="31780915" w14:textId="3E9655C2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650130E9" w14:textId="77777777" w:rsidR="008D2B2F" w:rsidRDefault="008D2B2F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79BE4304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I</w:t>
      </w:r>
      <w:r w:rsidR="00E60AD7">
        <w:rPr>
          <w:rFonts w:ascii="Verdana" w:hAnsi="Verdana"/>
          <w:b/>
          <w:color w:val="000000"/>
          <w:sz w:val="22"/>
          <w:szCs w:val="22"/>
        </w:rPr>
        <w:t>I.</w:t>
      </w:r>
      <w:r>
        <w:rPr>
          <w:rFonts w:ascii="Verdana" w:hAnsi="Verdana"/>
          <w:b/>
          <w:color w:val="000000"/>
          <w:sz w:val="22"/>
          <w:szCs w:val="22"/>
        </w:rPr>
        <w:t xml:space="preserve"> Estereótipos e Diretrizes</w:t>
      </w:r>
    </w:p>
    <w:p w14:paraId="131DF1A2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ECB8D05" w14:textId="3C4283D3" w:rsidR="005B52C0" w:rsidRPr="005B52C0" w:rsidRDefault="005B52C0" w:rsidP="00E82E5E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Nesta seção são apresentados os estereótipos para aplicação em casos de uso</w:t>
      </w:r>
      <w:r w:rsidR="008D2B2F">
        <w:rPr>
          <w:rFonts w:ascii="Verdana" w:hAnsi="Verdana"/>
          <w:color w:val="000000"/>
          <w:sz w:val="20"/>
          <w:szCs w:val="20"/>
        </w:rPr>
        <w:t xml:space="preserve">, </w:t>
      </w:r>
      <w:r w:rsidR="00A322CF">
        <w:rPr>
          <w:rFonts w:ascii="Verdana" w:hAnsi="Verdana"/>
          <w:color w:val="000000"/>
          <w:sz w:val="20"/>
          <w:szCs w:val="20"/>
        </w:rPr>
        <w:t xml:space="preserve">por meio </w:t>
      </w:r>
      <w:r w:rsidR="008D2B2F">
        <w:rPr>
          <w:rFonts w:ascii="Verdana" w:hAnsi="Verdana"/>
          <w:color w:val="000000"/>
          <w:sz w:val="20"/>
          <w:szCs w:val="20"/>
        </w:rPr>
        <w:t>da Tabela II,</w:t>
      </w:r>
      <w:r w:rsidR="00245F66">
        <w:rPr>
          <w:rFonts w:ascii="Verdana" w:hAnsi="Verdana"/>
          <w:color w:val="000000"/>
          <w:sz w:val="20"/>
          <w:szCs w:val="20"/>
        </w:rPr>
        <w:t xml:space="preserve"> em seguida</w:t>
      </w:r>
      <w:r w:rsidR="008D2B2F">
        <w:rPr>
          <w:rFonts w:ascii="Verdana" w:hAnsi="Verdana"/>
          <w:color w:val="000000"/>
          <w:sz w:val="20"/>
          <w:szCs w:val="20"/>
        </w:rPr>
        <w:t xml:space="preserve"> exemplos do uso destes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245F66">
        <w:rPr>
          <w:rFonts w:ascii="Verdana" w:hAnsi="Verdana"/>
          <w:color w:val="000000"/>
          <w:sz w:val="20"/>
          <w:szCs w:val="20"/>
        </w:rPr>
        <w:t>são apresentados, seguidos por especificações textuais do seu uso, identificando de forma conceitual as diretrizes.</w:t>
      </w:r>
    </w:p>
    <w:p w14:paraId="61EDE95B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F1E41AA" w14:textId="205E58CD" w:rsidR="000C41E3" w:rsidRPr="008717BA" w:rsidRDefault="000C41E3" w:rsidP="00937315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>
        <w:rPr>
          <w:rFonts w:ascii="Verdana" w:hAnsi="Verdana"/>
          <w:color w:val="000000" w:themeColor="text1"/>
          <w:sz w:val="18"/>
          <w:szCs w:val="18"/>
          <w:lang w:val="pt-BR"/>
        </w:rPr>
        <w:t>Tabela II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Estereótipos da Abordagem X para Casos de Uso</w:t>
      </w:r>
      <w:r w:rsidR="00A47FAF">
        <w:rPr>
          <w:rFonts w:ascii="Verdana" w:hAnsi="Verdana"/>
          <w:color w:val="000000" w:themeColor="text1"/>
          <w:sz w:val="18"/>
          <w:szCs w:val="18"/>
          <w:lang w:val="pt-BR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134"/>
        <w:gridCol w:w="6281"/>
        <w:gridCol w:w="1262"/>
      </w:tblGrid>
      <w:tr w:rsidR="008D2B2F" w:rsidRPr="008D2B2F" w14:paraId="50BD5A40" w14:textId="77777777" w:rsidTr="008D2B2F">
        <w:trPr>
          <w:jc w:val="center"/>
        </w:trPr>
        <w:tc>
          <w:tcPr>
            <w:tcW w:w="9677" w:type="dxa"/>
            <w:gridSpan w:val="3"/>
            <w:shd w:val="clear" w:color="auto" w:fill="000000" w:themeFill="text1"/>
          </w:tcPr>
          <w:p w14:paraId="46CA0F64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>Estereótipos Abordagem X</w:t>
            </w:r>
          </w:p>
        </w:tc>
      </w:tr>
      <w:tr w:rsidR="008D2B2F" w:rsidRPr="008D2B2F" w14:paraId="1E430DB6" w14:textId="77777777" w:rsidTr="008D2B2F">
        <w:trPr>
          <w:jc w:val="center"/>
        </w:trPr>
        <w:tc>
          <w:tcPr>
            <w:tcW w:w="9677" w:type="dxa"/>
            <w:gridSpan w:val="3"/>
            <w:shd w:val="clear" w:color="auto" w:fill="000000" w:themeFill="text1"/>
          </w:tcPr>
          <w:p w14:paraId="0B3C2ACF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Para Casos de Uso</w:t>
            </w:r>
          </w:p>
        </w:tc>
      </w:tr>
      <w:tr w:rsidR="008D2B2F" w:rsidRPr="008D2B2F" w14:paraId="3F9440A9" w14:textId="77777777" w:rsidTr="008D2B2F">
        <w:trPr>
          <w:jc w:val="center"/>
        </w:trPr>
        <w:tc>
          <w:tcPr>
            <w:tcW w:w="2134" w:type="dxa"/>
            <w:shd w:val="clear" w:color="auto" w:fill="000000" w:themeFill="text1"/>
          </w:tcPr>
          <w:p w14:paraId="0D71AFAD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Estereótipo</w:t>
            </w:r>
          </w:p>
        </w:tc>
        <w:tc>
          <w:tcPr>
            <w:tcW w:w="6281" w:type="dxa"/>
            <w:shd w:val="clear" w:color="auto" w:fill="000000" w:themeFill="text1"/>
          </w:tcPr>
          <w:p w14:paraId="5D6D27EF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Utilização</w:t>
            </w:r>
          </w:p>
        </w:tc>
        <w:tc>
          <w:tcPr>
            <w:tcW w:w="1262" w:type="dxa"/>
            <w:shd w:val="clear" w:color="auto" w:fill="000000" w:themeFill="text1"/>
          </w:tcPr>
          <w:p w14:paraId="3FA1DC7B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Exemplo</w:t>
            </w:r>
            <w:r w:rsidR="00387A1C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s</w:t>
            </w:r>
          </w:p>
        </w:tc>
      </w:tr>
      <w:tr w:rsidR="008D2B2F" w:rsidRPr="008D2B2F" w14:paraId="3EFD63E0" w14:textId="77777777" w:rsidTr="008D2B2F">
        <w:trPr>
          <w:jc w:val="center"/>
        </w:trPr>
        <w:tc>
          <w:tcPr>
            <w:tcW w:w="2134" w:type="dxa"/>
            <w:vAlign w:val="center"/>
          </w:tcPr>
          <w:p w14:paraId="35817567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</w:t>
            </w:r>
            <w:proofErr w:type="spellStart"/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kernel</w:t>
            </w:r>
            <w:proofErr w:type="spellEnd"/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&gt;&gt;</w:t>
            </w:r>
          </w:p>
        </w:tc>
        <w:tc>
          <w:tcPr>
            <w:tcW w:w="6281" w:type="dxa"/>
            <w:vAlign w:val="center"/>
          </w:tcPr>
          <w:p w14:paraId="4281BA5F" w14:textId="77777777" w:rsidR="008D2B2F" w:rsidRPr="008D2B2F" w:rsidRDefault="008D2B2F" w:rsidP="00D128EB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Usado para representar os casos de uso obrigatórios, que sempre estão presentes nos produtos de uma LP</w:t>
            </w:r>
            <w:r w:rsidR="00D128EB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. Podem identificar tanto a variabilidade, quanto variante e o ponto de variação.</w:t>
            </w:r>
          </w:p>
        </w:tc>
        <w:tc>
          <w:tcPr>
            <w:tcW w:w="1262" w:type="dxa"/>
            <w:vAlign w:val="center"/>
          </w:tcPr>
          <w:p w14:paraId="05D7B312" w14:textId="77777777" w:rsidR="008D2B2F" w:rsidRPr="008D2B2F" w:rsidRDefault="00375C1B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  <w:r w:rsidR="00387A1C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, Figura 2 e Figura 3.</w:t>
            </w:r>
          </w:p>
        </w:tc>
      </w:tr>
      <w:tr w:rsidR="008D2B2F" w:rsidRPr="008D2B2F" w14:paraId="5DF047F2" w14:textId="77777777" w:rsidTr="008D2B2F">
        <w:trPr>
          <w:jc w:val="center"/>
        </w:trPr>
        <w:tc>
          <w:tcPr>
            <w:tcW w:w="2134" w:type="dxa"/>
            <w:vAlign w:val="center"/>
          </w:tcPr>
          <w:p w14:paraId="19ED53E8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</w:t>
            </w:r>
            <w:proofErr w:type="spellStart"/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optional</w:t>
            </w:r>
            <w:proofErr w:type="spellEnd"/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&gt;&gt;</w:t>
            </w:r>
          </w:p>
        </w:tc>
        <w:tc>
          <w:tcPr>
            <w:tcW w:w="6281" w:type="dxa"/>
            <w:vAlign w:val="center"/>
          </w:tcPr>
          <w:p w14:paraId="40B8A25B" w14:textId="77777777" w:rsidR="008D2B2F" w:rsidRPr="008D2B2F" w:rsidRDefault="008D2B2F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Usados para representar os casos de uso que podem ou não estarem presentes em um produto</w:t>
            </w:r>
            <w:r w:rsidR="00D128EB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. Podem identificar tanto a variabilidade, quanto variante e o ponto de variação.</w:t>
            </w:r>
          </w:p>
        </w:tc>
        <w:tc>
          <w:tcPr>
            <w:tcW w:w="1262" w:type="dxa"/>
            <w:vAlign w:val="center"/>
          </w:tcPr>
          <w:p w14:paraId="063943F2" w14:textId="77777777" w:rsidR="008D2B2F" w:rsidRPr="008D2B2F" w:rsidRDefault="00387A1C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1, Figura 2 e Figura 3.</w:t>
            </w:r>
          </w:p>
        </w:tc>
      </w:tr>
      <w:tr w:rsidR="008D2B2F" w:rsidRPr="008D2B2F" w14:paraId="2586309B" w14:textId="77777777" w:rsidTr="008D2B2F">
        <w:trPr>
          <w:jc w:val="center"/>
        </w:trPr>
        <w:tc>
          <w:tcPr>
            <w:tcW w:w="2134" w:type="dxa"/>
            <w:vAlign w:val="center"/>
          </w:tcPr>
          <w:p w14:paraId="6604EF1F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</w:t>
            </w:r>
            <w:proofErr w:type="spellStart"/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alternative</w:t>
            </w:r>
            <w:proofErr w:type="spellEnd"/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&gt;&gt;</w:t>
            </w:r>
          </w:p>
        </w:tc>
        <w:tc>
          <w:tcPr>
            <w:tcW w:w="6281" w:type="dxa"/>
            <w:vAlign w:val="center"/>
          </w:tcPr>
          <w:p w14:paraId="66565ACA" w14:textId="77777777" w:rsidR="008D2B2F" w:rsidRPr="008D2B2F" w:rsidRDefault="008D2B2F" w:rsidP="008D2B2F">
            <w:pPr>
              <w:widowControl/>
              <w:suppressAutoHyphens w:val="0"/>
              <w:autoSpaceDN/>
              <w:spacing w:after="120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Usado para distinguir o caso de uso que deve estar presente em um determinado membro e em outro não, sendo geralmente, mutualmente exclusivos.</w:t>
            </w:r>
            <w:r w:rsidR="00D128EB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Podem identificar tanto a variabilidade, quanto variante e o ponto de variação.</w:t>
            </w:r>
          </w:p>
        </w:tc>
        <w:tc>
          <w:tcPr>
            <w:tcW w:w="1262" w:type="dxa"/>
            <w:vAlign w:val="center"/>
          </w:tcPr>
          <w:p w14:paraId="19E5F21E" w14:textId="77777777" w:rsidR="008D2B2F" w:rsidRPr="008D2B2F" w:rsidRDefault="00375C1B" w:rsidP="008D2B2F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  <w:r w:rsidR="00387A1C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 xml:space="preserve"> e Figura 2.</w:t>
            </w:r>
          </w:p>
        </w:tc>
      </w:tr>
    </w:tbl>
    <w:p w14:paraId="206317E9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14990962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4E09AFDF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64ACCB7C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54074D34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3729B914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56AE1167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6EDE6DCA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6626C243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7F7631F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68A293D8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400EC1C6" w14:textId="77777777" w:rsidR="008717BA" w:rsidRDefault="008717BA" w:rsidP="008D2B2F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4CBF98E2" w14:textId="77777777" w:rsidR="008D2B2F" w:rsidRDefault="008D2B2F" w:rsidP="008D2B2F">
      <w:pPr>
        <w:pStyle w:val="Standard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lastRenderedPageBreak/>
        <w:t>II.1 Exemplos</w:t>
      </w:r>
    </w:p>
    <w:p w14:paraId="6D58E1B4" w14:textId="77777777" w:rsidR="00234C72" w:rsidRDefault="00234C72" w:rsidP="008D2B2F">
      <w:pPr>
        <w:rPr>
          <w:rFonts w:ascii="Verdana" w:hAnsi="Verdana"/>
          <w:b/>
          <w:i/>
          <w:sz w:val="22"/>
          <w:szCs w:val="22"/>
          <w:lang w:val="pt-BR"/>
        </w:rPr>
      </w:pPr>
    </w:p>
    <w:p w14:paraId="05D79ACC" w14:textId="77777777" w:rsidR="005B52C0" w:rsidRDefault="005B52C0" w:rsidP="008D2B2F">
      <w:pPr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b/>
          <w:i/>
          <w:sz w:val="22"/>
          <w:szCs w:val="22"/>
          <w:lang w:val="pt-BR"/>
        </w:rPr>
        <w:t>Casos de Uso</w:t>
      </w:r>
    </w:p>
    <w:p w14:paraId="3B5A46DF" w14:textId="77777777" w:rsidR="008D2B2F" w:rsidRDefault="00245F66" w:rsidP="008D2B2F">
      <w:pPr>
        <w:spacing w:after="120"/>
        <w:ind w:firstLine="709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drawing>
          <wp:inline distT="0" distB="0" distL="0" distR="0" wp14:anchorId="52656632" wp14:editId="6677E397">
            <wp:extent cx="3638106" cy="3007360"/>
            <wp:effectExtent l="0" t="0" r="635" b="254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ixa ex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5364" cy="30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DACC9" w14:textId="77777777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1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Exemplo d</w:t>
      </w:r>
      <w:r w:rsidR="00375C1B">
        <w:rPr>
          <w:rFonts w:ascii="Verdana" w:hAnsi="Verdana"/>
          <w:color w:val="000000" w:themeColor="text1"/>
          <w:sz w:val="18"/>
          <w:szCs w:val="18"/>
          <w:lang w:val="pt-BR"/>
        </w:rPr>
        <w:t>e Diagrama de Casos de Usos com a Abordagem X</w:t>
      </w:r>
    </w:p>
    <w:p w14:paraId="51BA5157" w14:textId="00C5E506" w:rsidR="00245F66" w:rsidRPr="006A7DD2" w:rsidRDefault="00245F66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 w:rsidRPr="006A7DD2">
        <w:rPr>
          <w:rFonts w:ascii="Verdana" w:hAnsi="Verdana"/>
          <w:sz w:val="20"/>
          <w:szCs w:val="20"/>
          <w:lang w:val="pt-BR"/>
        </w:rPr>
        <w:t xml:space="preserve">Em linhas de produto é necessário descrever variações que ocorrem para diferentes membros. Uma forma de integrar variabilidade em casos de uso para LP é utilizando pontos de variação. Um </w:t>
      </w:r>
      <w:r w:rsidRPr="00EC5985">
        <w:rPr>
          <w:rFonts w:ascii="Verdana" w:hAnsi="Verdana"/>
          <w:b/>
          <w:sz w:val="20"/>
          <w:szCs w:val="20"/>
          <w:lang w:val="pt-BR"/>
        </w:rPr>
        <w:t>ponto de variação</w:t>
      </w:r>
      <w:r w:rsidRPr="006A7DD2">
        <w:rPr>
          <w:rFonts w:ascii="Verdana" w:hAnsi="Verdana"/>
          <w:sz w:val="20"/>
          <w:szCs w:val="20"/>
          <w:lang w:val="pt-BR"/>
        </w:rPr>
        <w:t xml:space="preserve"> é um local em um caso de uso, onde uma decisão pode ser tomada. </w:t>
      </w:r>
    </w:p>
    <w:p w14:paraId="73CF6AE4" w14:textId="77777777" w:rsidR="00245F66" w:rsidRDefault="00245F66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 w:rsidRPr="00C63A6B">
        <w:rPr>
          <w:rFonts w:ascii="Verdana" w:hAnsi="Verdana"/>
          <w:b/>
          <w:sz w:val="20"/>
          <w:szCs w:val="20"/>
          <w:lang w:val="pt-BR"/>
        </w:rPr>
        <w:t>Pontos de variação em casos de uso podem ser tratados de duas formas:</w:t>
      </w:r>
      <w:r w:rsidRPr="006A7DD2">
        <w:rPr>
          <w:rFonts w:ascii="Verdana" w:hAnsi="Verdana"/>
          <w:sz w:val="20"/>
          <w:szCs w:val="20"/>
          <w:lang w:val="pt-BR"/>
        </w:rPr>
        <w:t xml:space="preserve"> </w:t>
      </w:r>
    </w:p>
    <w:p w14:paraId="7744A96E" w14:textId="77777777" w:rsidR="00245F66" w:rsidRDefault="00245F66" w:rsidP="00F86372">
      <w:pPr>
        <w:pStyle w:val="PargrafodaLista"/>
        <w:numPr>
          <w:ilvl w:val="0"/>
          <w:numId w:val="2"/>
        </w:numPr>
        <w:spacing w:after="120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E</w:t>
      </w:r>
      <w:r w:rsidRPr="00C63A6B">
        <w:rPr>
          <w:rFonts w:ascii="Verdana" w:hAnsi="Verdana"/>
          <w:sz w:val="20"/>
          <w:szCs w:val="20"/>
          <w:lang w:val="pt-BR"/>
        </w:rPr>
        <w:t>m casos mais simples, o ponto de variação é descrito no próprio caso de uso, identificando o local no caso de uso, onde a decisão ocorre, e podendo ser, inclusive a própria variante</w:t>
      </w:r>
      <w:r>
        <w:rPr>
          <w:rFonts w:ascii="Verdana" w:hAnsi="Verdana"/>
          <w:sz w:val="20"/>
          <w:szCs w:val="20"/>
          <w:lang w:val="pt-BR"/>
        </w:rPr>
        <w:t>; e</w:t>
      </w:r>
    </w:p>
    <w:p w14:paraId="2024E3DD" w14:textId="77777777" w:rsidR="00245F66" w:rsidRDefault="00245F66" w:rsidP="00F86372">
      <w:pPr>
        <w:pStyle w:val="PargrafodaLista"/>
        <w:numPr>
          <w:ilvl w:val="0"/>
          <w:numId w:val="2"/>
        </w:numPr>
        <w:spacing w:after="120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E</w:t>
      </w:r>
      <w:r w:rsidRPr="00C63A6B">
        <w:rPr>
          <w:rFonts w:ascii="Verdana" w:hAnsi="Verdana"/>
          <w:sz w:val="20"/>
          <w:szCs w:val="20"/>
          <w:lang w:val="pt-BR"/>
        </w:rPr>
        <w:t xml:space="preserve">m casos de uso mais complexos utilizam-se os conceitos de </w:t>
      </w:r>
      <w:proofErr w:type="spellStart"/>
      <w:r w:rsidRPr="00C63A6B">
        <w:rPr>
          <w:rFonts w:ascii="Verdana" w:hAnsi="Verdana"/>
          <w:i/>
          <w:sz w:val="20"/>
          <w:szCs w:val="20"/>
          <w:lang w:val="pt-BR"/>
        </w:rPr>
        <w:t>extend</w:t>
      </w:r>
      <w:proofErr w:type="spellEnd"/>
      <w:r w:rsidRPr="00C63A6B">
        <w:rPr>
          <w:rFonts w:ascii="Verdana" w:hAnsi="Verdana"/>
          <w:i/>
          <w:sz w:val="20"/>
          <w:szCs w:val="20"/>
          <w:lang w:val="pt-BR"/>
        </w:rPr>
        <w:t xml:space="preserve"> </w:t>
      </w:r>
      <w:r w:rsidRPr="00C63A6B">
        <w:rPr>
          <w:rFonts w:ascii="Verdana" w:hAnsi="Verdana"/>
          <w:sz w:val="20"/>
          <w:szCs w:val="20"/>
          <w:lang w:val="pt-BR"/>
        </w:rPr>
        <w:t xml:space="preserve">e </w:t>
      </w:r>
      <w:r w:rsidRPr="00C63A6B">
        <w:rPr>
          <w:rFonts w:ascii="Verdana" w:hAnsi="Verdana"/>
          <w:i/>
          <w:sz w:val="20"/>
          <w:szCs w:val="20"/>
          <w:lang w:val="pt-BR"/>
        </w:rPr>
        <w:t>include</w:t>
      </w:r>
      <w:r w:rsidRPr="00C63A6B">
        <w:rPr>
          <w:rFonts w:ascii="Verdana" w:hAnsi="Verdana"/>
          <w:sz w:val="20"/>
          <w:szCs w:val="20"/>
          <w:lang w:val="pt-BR"/>
        </w:rPr>
        <w:t xml:space="preserve"> para modelar pontos de variação.</w:t>
      </w:r>
    </w:p>
    <w:p w14:paraId="42465559" w14:textId="77777777" w:rsidR="00375C1B" w:rsidRDefault="00375C1B" w:rsidP="00234C72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Figura 1 podemos observar o uso dos estereótipos presentes na Tabela II. Para os casos de uso obrigatórios, </w:t>
      </w:r>
      <w:r w:rsidRPr="005B52C0">
        <w:rPr>
          <w:rFonts w:ascii="Verdana" w:hAnsi="Verdana"/>
          <w:b/>
          <w:color w:val="000000"/>
          <w:sz w:val="20"/>
          <w:szCs w:val="20"/>
        </w:rPr>
        <w:t xml:space="preserve">Efetuar </w:t>
      </w:r>
      <w:proofErr w:type="spellStart"/>
      <w:r w:rsidRPr="005B52C0">
        <w:rPr>
          <w:rFonts w:ascii="Verdana" w:hAnsi="Verdana"/>
          <w:b/>
          <w:color w:val="000000"/>
          <w:sz w:val="20"/>
          <w:szCs w:val="20"/>
        </w:rPr>
        <w:t>Login</w:t>
      </w:r>
      <w:proofErr w:type="spellEnd"/>
      <w:r w:rsidRPr="005B52C0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5B52C0">
        <w:rPr>
          <w:rFonts w:ascii="Verdana" w:hAnsi="Verdana"/>
          <w:color w:val="000000"/>
          <w:sz w:val="20"/>
          <w:szCs w:val="20"/>
        </w:rPr>
        <w:t xml:space="preserve">e </w:t>
      </w:r>
      <w:r w:rsidRPr="005B52C0">
        <w:rPr>
          <w:rFonts w:ascii="Verdana" w:hAnsi="Verdana"/>
          <w:b/>
          <w:color w:val="000000"/>
          <w:sz w:val="20"/>
          <w:szCs w:val="20"/>
        </w:rPr>
        <w:t>Visualizar Saldo</w:t>
      </w:r>
      <w:r w:rsidRPr="005B52C0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há a aplicação do estereótipo &lt;&lt;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k</w:t>
      </w:r>
      <w:r w:rsidRPr="005B52C0">
        <w:rPr>
          <w:rFonts w:ascii="Verdana" w:hAnsi="Verdana"/>
          <w:i/>
          <w:color w:val="000000"/>
          <w:sz w:val="20"/>
          <w:szCs w:val="20"/>
        </w:rPr>
        <w:t>ernel</w:t>
      </w:r>
      <w:proofErr w:type="spellEnd"/>
      <w:r w:rsidRPr="005B52C0">
        <w:rPr>
          <w:rFonts w:ascii="Verdana" w:hAnsi="Verdana"/>
          <w:i/>
          <w:color w:val="000000"/>
          <w:sz w:val="20"/>
          <w:szCs w:val="20"/>
        </w:rPr>
        <w:t>&gt;&gt;</w:t>
      </w:r>
      <w:r>
        <w:rPr>
          <w:rFonts w:ascii="Verdana" w:hAnsi="Verdana"/>
          <w:color w:val="000000"/>
          <w:sz w:val="20"/>
          <w:szCs w:val="20"/>
        </w:rPr>
        <w:t>, logo, esta variabilidade</w:t>
      </w:r>
      <w:r w:rsidR="00234C72">
        <w:rPr>
          <w:rFonts w:ascii="Verdana" w:hAnsi="Verdana"/>
          <w:color w:val="000000"/>
          <w:sz w:val="20"/>
          <w:szCs w:val="20"/>
        </w:rPr>
        <w:t>, e ponto de variação,</w:t>
      </w:r>
      <w:r>
        <w:rPr>
          <w:rFonts w:ascii="Verdana" w:hAnsi="Verdana"/>
          <w:color w:val="000000"/>
          <w:sz w:val="20"/>
          <w:szCs w:val="20"/>
        </w:rPr>
        <w:t xml:space="preserve"> é obrigatória e estará presente em todos os produtos dela derivadas.</w:t>
      </w:r>
      <w:r w:rsidRPr="005B52C0">
        <w:rPr>
          <w:rFonts w:ascii="Verdana" w:hAnsi="Verdana"/>
          <w:color w:val="000000"/>
          <w:sz w:val="20"/>
          <w:szCs w:val="20"/>
        </w:rPr>
        <w:t xml:space="preserve"> Já o caso de uso </w:t>
      </w:r>
      <w:r w:rsidRPr="005B52C0">
        <w:rPr>
          <w:rFonts w:ascii="Verdana" w:hAnsi="Verdana"/>
          <w:b/>
          <w:color w:val="000000"/>
          <w:sz w:val="20"/>
          <w:szCs w:val="20"/>
        </w:rPr>
        <w:t>Efetuar Pagamento</w:t>
      </w:r>
      <w:r w:rsidRPr="005B52C0">
        <w:rPr>
          <w:rFonts w:ascii="Verdana" w:hAnsi="Verdana"/>
          <w:color w:val="000000"/>
          <w:sz w:val="20"/>
          <w:szCs w:val="20"/>
        </w:rPr>
        <w:t xml:space="preserve"> é opcional (&lt;&lt;</w:t>
      </w:r>
      <w:proofErr w:type="spellStart"/>
      <w:r w:rsidRPr="005B52C0">
        <w:rPr>
          <w:rFonts w:ascii="Verdana" w:hAnsi="Verdana"/>
          <w:i/>
          <w:color w:val="000000"/>
          <w:sz w:val="20"/>
          <w:szCs w:val="20"/>
        </w:rPr>
        <w:t>optional</w:t>
      </w:r>
      <w:proofErr w:type="spellEnd"/>
      <w:r w:rsidRPr="005B52C0">
        <w:rPr>
          <w:rFonts w:ascii="Verdana" w:hAnsi="Verdana"/>
          <w:i/>
          <w:color w:val="000000"/>
          <w:sz w:val="20"/>
          <w:szCs w:val="20"/>
        </w:rPr>
        <w:t>&gt;&gt;</w:t>
      </w:r>
      <w:r w:rsidRPr="005B52C0">
        <w:rPr>
          <w:rFonts w:ascii="Verdana" w:hAnsi="Verdana"/>
          <w:color w:val="000000"/>
          <w:sz w:val="20"/>
          <w:szCs w:val="20"/>
        </w:rPr>
        <w:t xml:space="preserve">), podendo ou não ser </w:t>
      </w:r>
      <w:proofErr w:type="gramStart"/>
      <w:r w:rsidRPr="005B52C0">
        <w:rPr>
          <w:rFonts w:ascii="Verdana" w:hAnsi="Verdana"/>
          <w:color w:val="000000"/>
          <w:sz w:val="20"/>
          <w:szCs w:val="20"/>
        </w:rPr>
        <w:t>inseridos</w:t>
      </w:r>
      <w:proofErr w:type="gramEnd"/>
      <w:r w:rsidRPr="005B52C0">
        <w:rPr>
          <w:rFonts w:ascii="Verdana" w:hAnsi="Verdana"/>
          <w:color w:val="000000"/>
          <w:sz w:val="20"/>
          <w:szCs w:val="20"/>
        </w:rPr>
        <w:t xml:space="preserve"> como funcionalidade do caixa. Os casos de uso </w:t>
      </w:r>
      <w:r w:rsidRPr="005B52C0">
        <w:rPr>
          <w:rFonts w:ascii="Verdana" w:hAnsi="Verdana"/>
          <w:b/>
          <w:color w:val="000000"/>
          <w:sz w:val="20"/>
          <w:szCs w:val="20"/>
        </w:rPr>
        <w:t>Efetuar Saque</w:t>
      </w:r>
      <w:r>
        <w:rPr>
          <w:rFonts w:ascii="Verdana" w:hAnsi="Verdana"/>
          <w:color w:val="000000"/>
          <w:sz w:val="20"/>
          <w:szCs w:val="20"/>
        </w:rPr>
        <w:t>,</w:t>
      </w:r>
      <w:r w:rsidRPr="005B52C0">
        <w:rPr>
          <w:rFonts w:ascii="Verdana" w:hAnsi="Verdana"/>
          <w:color w:val="000000"/>
          <w:sz w:val="20"/>
          <w:szCs w:val="20"/>
        </w:rPr>
        <w:t xml:space="preserve"> </w:t>
      </w:r>
      <w:r w:rsidRPr="005B52C0">
        <w:rPr>
          <w:rFonts w:ascii="Verdana" w:hAnsi="Verdana"/>
          <w:b/>
          <w:color w:val="000000"/>
          <w:sz w:val="20"/>
          <w:szCs w:val="20"/>
        </w:rPr>
        <w:t>Efetuar Depósito</w:t>
      </w:r>
      <w:r>
        <w:rPr>
          <w:rFonts w:ascii="Verdana" w:hAnsi="Verdana"/>
          <w:b/>
          <w:color w:val="000000"/>
          <w:sz w:val="20"/>
          <w:szCs w:val="20"/>
        </w:rPr>
        <w:t xml:space="preserve">, Pagar Boleto </w:t>
      </w:r>
      <w:r>
        <w:rPr>
          <w:rFonts w:ascii="Verdana" w:hAnsi="Verdana"/>
          <w:color w:val="000000"/>
          <w:sz w:val="20"/>
          <w:szCs w:val="20"/>
        </w:rPr>
        <w:t xml:space="preserve">e </w:t>
      </w:r>
      <w:r>
        <w:rPr>
          <w:rFonts w:ascii="Verdana" w:hAnsi="Verdana"/>
          <w:b/>
          <w:color w:val="000000"/>
          <w:sz w:val="20"/>
          <w:szCs w:val="20"/>
        </w:rPr>
        <w:t>Emitir Extrato</w:t>
      </w:r>
      <w:r w:rsidRPr="005B52C0">
        <w:rPr>
          <w:rFonts w:ascii="Verdana" w:hAnsi="Verdana"/>
          <w:color w:val="000000"/>
          <w:sz w:val="20"/>
          <w:szCs w:val="20"/>
        </w:rPr>
        <w:t xml:space="preserve"> são alternativos (&lt;&lt;</w:t>
      </w:r>
      <w:proofErr w:type="spellStart"/>
      <w:r w:rsidRPr="005B52C0">
        <w:rPr>
          <w:rFonts w:ascii="Verdana" w:hAnsi="Verdana"/>
          <w:i/>
          <w:color w:val="000000"/>
          <w:sz w:val="20"/>
          <w:szCs w:val="20"/>
        </w:rPr>
        <w:t>alternative</w:t>
      </w:r>
      <w:proofErr w:type="spellEnd"/>
      <w:r w:rsidRPr="005B52C0">
        <w:rPr>
          <w:rFonts w:ascii="Verdana" w:hAnsi="Verdana"/>
          <w:i/>
          <w:color w:val="000000"/>
          <w:sz w:val="20"/>
          <w:szCs w:val="20"/>
        </w:rPr>
        <w:t>&gt;&gt;</w:t>
      </w:r>
      <w:r w:rsidRPr="005B52C0">
        <w:rPr>
          <w:rFonts w:ascii="Verdana" w:hAnsi="Verdana"/>
          <w:color w:val="000000"/>
          <w:sz w:val="20"/>
          <w:szCs w:val="20"/>
        </w:rPr>
        <w:t>), ou seja, um caixa com a funcionalidade de efetuar saque, não pode, devido a uma regra da LP, estar presente em um mesmo produto que tenha a funcionalidade de efetuar depósito, sendo assim, são mutualmente exclusivos.</w:t>
      </w:r>
    </w:p>
    <w:p w14:paraId="1F451CCA" w14:textId="77777777" w:rsidR="00375C1B" w:rsidRDefault="00375C1B" w:rsidP="00234C72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As regras aplicadas a esta LP são meramente demonstrativas, principalmente no que tange a opção alternativa para o exemplo acima.</w:t>
      </w:r>
    </w:p>
    <w:p w14:paraId="396E229D" w14:textId="71AC4B62" w:rsidR="00375C1B" w:rsidRDefault="00375C1B" w:rsidP="00234C72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Ainda quanto a opção &lt;&lt;</w:t>
      </w:r>
      <w:proofErr w:type="spellStart"/>
      <w:r w:rsidR="009D21A5">
        <w:rPr>
          <w:rFonts w:ascii="Verdana" w:hAnsi="Verdana"/>
          <w:i/>
          <w:color w:val="000000"/>
          <w:sz w:val="20"/>
          <w:szCs w:val="20"/>
        </w:rPr>
        <w:t>alter</w:t>
      </w:r>
      <w:r>
        <w:rPr>
          <w:rFonts w:ascii="Verdana" w:hAnsi="Verdana"/>
          <w:i/>
          <w:color w:val="000000"/>
          <w:sz w:val="20"/>
          <w:szCs w:val="20"/>
        </w:rPr>
        <w:t>native</w:t>
      </w:r>
      <w:proofErr w:type="spellEnd"/>
      <w:r>
        <w:rPr>
          <w:rFonts w:ascii="Verdana" w:hAnsi="Verdana"/>
          <w:i/>
          <w:color w:val="000000"/>
          <w:sz w:val="20"/>
          <w:szCs w:val="20"/>
        </w:rPr>
        <w:t>&gt;&gt;</w:t>
      </w:r>
      <w:r>
        <w:rPr>
          <w:rFonts w:ascii="Verdana" w:hAnsi="Verdana"/>
          <w:color w:val="000000"/>
          <w:sz w:val="20"/>
          <w:szCs w:val="20"/>
        </w:rPr>
        <w:t xml:space="preserve"> pode ser necessário formar um grupo de variantes assim estereotipadas, atendendo as restrições e regras de negócio aplicadas na LP. Desta forma, casos de uso podem ser inseridos para permitir tal agrupamento, como pode ser visto na Figura 2.</w:t>
      </w:r>
    </w:p>
    <w:p w14:paraId="5132A179" w14:textId="77777777" w:rsidR="00234C72" w:rsidRDefault="00234C72" w:rsidP="00234C72">
      <w:pPr>
        <w:spacing w:after="120"/>
        <w:ind w:firstLine="567"/>
        <w:jc w:val="both"/>
        <w:rPr>
          <w:rFonts w:ascii="Verdana" w:hAnsi="Verdana"/>
          <w:b/>
          <w:color w:val="000000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Na Figura 2, notamos que os casos de uso </w:t>
      </w:r>
      <w:r w:rsidRPr="00245F66">
        <w:rPr>
          <w:rFonts w:ascii="Verdana" w:hAnsi="Verdana"/>
          <w:b/>
          <w:color w:val="000000"/>
          <w:sz w:val="20"/>
          <w:szCs w:val="20"/>
          <w:lang w:val="pt-BR"/>
        </w:rPr>
        <w:t>Efetuar Saque</w:t>
      </w:r>
      <w:r w:rsidRPr="00245F66">
        <w:rPr>
          <w:rFonts w:ascii="Verdana" w:hAnsi="Verdana"/>
          <w:color w:val="000000"/>
          <w:sz w:val="20"/>
          <w:szCs w:val="20"/>
          <w:lang w:val="pt-BR"/>
        </w:rPr>
        <w:t xml:space="preserve">, </w:t>
      </w:r>
      <w:r w:rsidRPr="00245F66">
        <w:rPr>
          <w:rFonts w:ascii="Verdana" w:hAnsi="Verdana"/>
          <w:b/>
          <w:color w:val="000000"/>
          <w:sz w:val="20"/>
          <w:szCs w:val="20"/>
          <w:lang w:val="pt-BR"/>
        </w:rPr>
        <w:t xml:space="preserve">Efetuar Depósito, Pagar Boleto </w:t>
      </w:r>
      <w:r w:rsidRPr="00245F66">
        <w:rPr>
          <w:rFonts w:ascii="Verdana" w:hAnsi="Verdana"/>
          <w:color w:val="000000"/>
          <w:sz w:val="20"/>
          <w:szCs w:val="20"/>
          <w:lang w:val="pt-BR"/>
        </w:rPr>
        <w:t xml:space="preserve">e </w:t>
      </w:r>
      <w:r w:rsidRPr="00245F66">
        <w:rPr>
          <w:rFonts w:ascii="Verdana" w:hAnsi="Verdana"/>
          <w:b/>
          <w:color w:val="000000"/>
          <w:sz w:val="20"/>
          <w:szCs w:val="20"/>
          <w:lang w:val="pt-BR"/>
        </w:rPr>
        <w:t>Emitir Extrato</w:t>
      </w:r>
      <w:r>
        <w:rPr>
          <w:rFonts w:ascii="Verdana" w:hAnsi="Verdana"/>
          <w:color w:val="000000"/>
          <w:sz w:val="20"/>
          <w:szCs w:val="20"/>
          <w:lang w:val="pt-BR"/>
        </w:rPr>
        <w:t>, anteriormente (Figura 1) representados como alternativos, passam a ser obrigatórios, e estão agrupados em um diagrama de caso de uso com o estereótipo &lt;&lt;</w:t>
      </w:r>
      <w:proofErr w:type="spellStart"/>
      <w:r>
        <w:rPr>
          <w:rFonts w:ascii="Verdana" w:hAnsi="Verdana"/>
          <w:i/>
          <w:color w:val="000000"/>
          <w:sz w:val="20"/>
          <w:szCs w:val="20"/>
          <w:lang w:val="pt-BR"/>
        </w:rPr>
        <w:t>alternative</w:t>
      </w:r>
      <w:proofErr w:type="spellEnd"/>
      <w:r>
        <w:rPr>
          <w:rFonts w:ascii="Verdana" w:hAnsi="Verdana"/>
          <w:i/>
          <w:color w:val="000000"/>
          <w:sz w:val="20"/>
          <w:szCs w:val="20"/>
          <w:lang w:val="pt-BR"/>
        </w:rPr>
        <w:t>&gt;&gt;</w:t>
      </w:r>
      <w:r>
        <w:rPr>
          <w:rFonts w:ascii="Verdana" w:hAnsi="Verdana"/>
          <w:color w:val="000000"/>
          <w:sz w:val="20"/>
          <w:szCs w:val="20"/>
          <w:lang w:val="pt-BR"/>
        </w:rPr>
        <w:t xml:space="preserve">. Esta indicação mostra que, devido uma restrição de regras de negócio da LP, definidas anteriormente pelo gerente de LP, indica a necessidade de que produtos desta LP sejam produzidos com o grupo apresentado pelo </w:t>
      </w:r>
      <w:r>
        <w:rPr>
          <w:rFonts w:ascii="Verdana" w:hAnsi="Verdana"/>
          <w:color w:val="000000"/>
          <w:sz w:val="20"/>
          <w:szCs w:val="20"/>
          <w:lang w:val="pt-BR"/>
        </w:rPr>
        <w:lastRenderedPageBreak/>
        <w:t xml:space="preserve">caso de uso </w:t>
      </w:r>
      <w:r>
        <w:rPr>
          <w:rFonts w:ascii="Verdana" w:hAnsi="Verdana"/>
          <w:b/>
          <w:color w:val="000000"/>
          <w:sz w:val="20"/>
          <w:szCs w:val="20"/>
          <w:lang w:val="pt-BR"/>
        </w:rPr>
        <w:t>Efetuar Transações Básicas</w:t>
      </w:r>
      <w:r>
        <w:rPr>
          <w:rFonts w:ascii="Verdana" w:hAnsi="Verdana"/>
          <w:color w:val="000000"/>
          <w:sz w:val="20"/>
          <w:szCs w:val="20"/>
          <w:lang w:val="pt-BR"/>
        </w:rPr>
        <w:t xml:space="preserve"> ou pelo grupo </w:t>
      </w:r>
      <w:r>
        <w:rPr>
          <w:rFonts w:ascii="Verdana" w:hAnsi="Verdana"/>
          <w:b/>
          <w:color w:val="000000"/>
          <w:sz w:val="20"/>
          <w:szCs w:val="20"/>
          <w:lang w:val="pt-BR"/>
        </w:rPr>
        <w:t>Efetuar Transações Avançadas.</w:t>
      </w:r>
    </w:p>
    <w:p w14:paraId="1E6980E4" w14:textId="77777777" w:rsidR="00234C72" w:rsidRDefault="00234C72" w:rsidP="00234C72">
      <w:pPr>
        <w:spacing w:after="60"/>
        <w:ind w:firstLine="567"/>
        <w:jc w:val="both"/>
        <w:rPr>
          <w:rFonts w:ascii="Verdana" w:hAnsi="Verdana"/>
          <w:color w:val="000000"/>
          <w:sz w:val="20"/>
          <w:szCs w:val="20"/>
          <w:lang w:val="pt-BR"/>
        </w:rPr>
      </w:pPr>
    </w:p>
    <w:p w14:paraId="50826DD0" w14:textId="77777777" w:rsidR="00234C72" w:rsidRPr="00245F66" w:rsidRDefault="00234C72" w:rsidP="00234C72">
      <w:pPr>
        <w:spacing w:after="60"/>
        <w:ind w:firstLine="567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color w:val="000000"/>
          <w:sz w:val="20"/>
          <w:szCs w:val="20"/>
          <w:lang w:val="pt-BR"/>
        </w:rPr>
        <w:t>Observe que, por ambos os grupos possuírem o estereótipo &lt;&lt;</w:t>
      </w:r>
      <w:proofErr w:type="spellStart"/>
      <w:r>
        <w:rPr>
          <w:rFonts w:ascii="Verdana" w:hAnsi="Verdana"/>
          <w:i/>
          <w:color w:val="000000"/>
          <w:sz w:val="20"/>
          <w:szCs w:val="20"/>
          <w:lang w:val="pt-BR"/>
        </w:rPr>
        <w:t>alternative</w:t>
      </w:r>
      <w:proofErr w:type="spellEnd"/>
      <w:r>
        <w:rPr>
          <w:rFonts w:ascii="Verdana" w:hAnsi="Verdana"/>
          <w:i/>
          <w:color w:val="000000"/>
          <w:sz w:val="20"/>
          <w:szCs w:val="20"/>
          <w:lang w:val="pt-BR"/>
        </w:rPr>
        <w:t>&gt;&gt;</w:t>
      </w:r>
      <w:r>
        <w:rPr>
          <w:rFonts w:ascii="Verdana" w:hAnsi="Verdana"/>
          <w:color w:val="000000"/>
          <w:sz w:val="20"/>
          <w:szCs w:val="20"/>
          <w:lang w:val="pt-BR"/>
        </w:rPr>
        <w:t>, suas variantes passam a receber o estereótipo &lt;&lt;</w:t>
      </w:r>
      <w:proofErr w:type="spellStart"/>
      <w:r>
        <w:rPr>
          <w:rFonts w:ascii="Verdana" w:hAnsi="Verdana"/>
          <w:i/>
          <w:color w:val="000000"/>
          <w:sz w:val="20"/>
          <w:szCs w:val="20"/>
          <w:lang w:val="pt-BR"/>
        </w:rPr>
        <w:t>kernel</w:t>
      </w:r>
      <w:proofErr w:type="spellEnd"/>
      <w:r>
        <w:rPr>
          <w:rFonts w:ascii="Verdana" w:hAnsi="Verdana"/>
          <w:i/>
          <w:color w:val="000000"/>
          <w:sz w:val="20"/>
          <w:szCs w:val="20"/>
          <w:lang w:val="pt-BR"/>
        </w:rPr>
        <w:t>&gt;&gt;</w:t>
      </w:r>
      <w:r>
        <w:rPr>
          <w:rFonts w:ascii="Verdana" w:hAnsi="Verdana"/>
          <w:color w:val="000000"/>
          <w:sz w:val="20"/>
          <w:szCs w:val="20"/>
          <w:lang w:val="pt-BR"/>
        </w:rPr>
        <w:t>. Assim, se selecionado ou um ou outro (relação mutualmente exclusiva – ou seja, se um for selecionado, o outro não será) as variantes estendidas ali farão parte obrigatória do produto.</w:t>
      </w:r>
    </w:p>
    <w:p w14:paraId="36BBAD3D" w14:textId="77777777" w:rsidR="00375C1B" w:rsidRPr="00375C1B" w:rsidRDefault="00234C72" w:rsidP="00375C1B">
      <w:pPr>
        <w:pStyle w:val="Standard"/>
        <w:spacing w:after="120"/>
        <w:ind w:firstLine="709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224319CF" wp14:editId="7256AC44">
            <wp:extent cx="4333240" cy="2993957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upos al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6304" cy="2996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1CD7B" w14:textId="14CFFFA5" w:rsidR="00375C1B" w:rsidRPr="000816EB" w:rsidRDefault="00375C1B" w:rsidP="00375C1B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2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Exemplo d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e Diagrama de Casos de Usos com a Abordagem X e Grupos de Variantes Alternativas</w:t>
      </w:r>
      <w:r w:rsidR="00B348A5">
        <w:rPr>
          <w:rFonts w:ascii="Verdana" w:hAnsi="Verdana"/>
          <w:color w:val="000000" w:themeColor="text1"/>
          <w:sz w:val="18"/>
          <w:szCs w:val="18"/>
          <w:lang w:val="pt-BR"/>
        </w:rPr>
        <w:t>.</w:t>
      </w:r>
    </w:p>
    <w:p w14:paraId="4F64DD18" w14:textId="77777777" w:rsidR="005B52C0" w:rsidRDefault="005B52C0" w:rsidP="005B52C0">
      <w:pPr>
        <w:rPr>
          <w:rFonts w:ascii="Verdana" w:hAnsi="Verdana"/>
          <w:b/>
          <w:i/>
          <w:sz w:val="22"/>
          <w:szCs w:val="22"/>
          <w:lang w:val="pt-BR"/>
        </w:rPr>
      </w:pPr>
    </w:p>
    <w:p w14:paraId="6B82D3C2" w14:textId="77777777" w:rsidR="005B52C0" w:rsidRPr="00CE2303" w:rsidRDefault="005B52C0" w:rsidP="005B52C0">
      <w:pPr>
        <w:rPr>
          <w:rFonts w:ascii="Verdana" w:hAnsi="Verdana"/>
          <w:b/>
          <w:i/>
          <w:sz w:val="22"/>
          <w:szCs w:val="22"/>
          <w:lang w:val="pt-BR"/>
        </w:rPr>
      </w:pPr>
      <w:r w:rsidRPr="00CE2303">
        <w:rPr>
          <w:rFonts w:ascii="Verdana" w:hAnsi="Verdana"/>
          <w:b/>
          <w:i/>
          <w:sz w:val="22"/>
          <w:szCs w:val="22"/>
          <w:lang w:val="pt-BR"/>
        </w:rPr>
        <w:t>Relações de Extensão (</w:t>
      </w:r>
      <w:proofErr w:type="spellStart"/>
      <w:r w:rsidRPr="00CE2303">
        <w:rPr>
          <w:rFonts w:ascii="Verdana" w:hAnsi="Verdana"/>
          <w:b/>
          <w:i/>
          <w:sz w:val="22"/>
          <w:szCs w:val="22"/>
          <w:lang w:val="pt-BR"/>
        </w:rPr>
        <w:t>Extend</w:t>
      </w:r>
      <w:proofErr w:type="spellEnd"/>
      <w:r w:rsidRPr="00CE2303">
        <w:rPr>
          <w:rFonts w:ascii="Verdana" w:hAnsi="Verdana"/>
          <w:b/>
          <w:i/>
          <w:sz w:val="22"/>
          <w:szCs w:val="22"/>
          <w:lang w:val="pt-BR"/>
        </w:rPr>
        <w:t>)</w:t>
      </w:r>
    </w:p>
    <w:p w14:paraId="1502A4DA" w14:textId="77777777" w:rsidR="00234C72" w:rsidRDefault="00234C72" w:rsidP="00234C72">
      <w:pPr>
        <w:spacing w:after="120"/>
        <w:ind w:firstLine="567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drawing>
          <wp:inline distT="0" distB="0" distL="0" distR="0" wp14:anchorId="0FEC26F8" wp14:editId="04124850">
            <wp:extent cx="4439920" cy="289871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ension poin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247" cy="290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AFDEA" w14:textId="0A8F20FB" w:rsidR="00234C72" w:rsidRPr="00CE2303" w:rsidRDefault="00234C72" w:rsidP="00234C72">
      <w:pPr>
        <w:spacing w:after="120"/>
        <w:jc w:val="center"/>
        <w:rPr>
          <w:rFonts w:ascii="Verdana" w:hAnsi="Verdana"/>
          <w:i/>
          <w:color w:val="000000" w:themeColor="text1"/>
          <w:sz w:val="18"/>
          <w:szCs w:val="18"/>
          <w:lang w:val="pt-BR"/>
        </w:rPr>
      </w:pPr>
      <w:r w:rsidRPr="00CE230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3</w:t>
      </w:r>
      <w:r w:rsidRPr="00CE230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Diagrama de Casos de Usos com Exemplo de Relação </w:t>
      </w:r>
      <w:proofErr w:type="spellStart"/>
      <w:r w:rsidRPr="00CE2303">
        <w:rPr>
          <w:rFonts w:ascii="Verdana" w:hAnsi="Verdana"/>
          <w:i/>
          <w:color w:val="000000" w:themeColor="text1"/>
          <w:sz w:val="18"/>
          <w:szCs w:val="18"/>
          <w:lang w:val="pt-BR"/>
        </w:rPr>
        <w:t>Extend</w:t>
      </w:r>
      <w:proofErr w:type="spellEnd"/>
      <w:r w:rsidRPr="00CE230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a um </w:t>
      </w:r>
      <w:proofErr w:type="spellStart"/>
      <w:r w:rsidRPr="00CE2303">
        <w:rPr>
          <w:rFonts w:ascii="Verdana" w:hAnsi="Verdana"/>
          <w:i/>
          <w:color w:val="000000" w:themeColor="text1"/>
          <w:sz w:val="18"/>
          <w:szCs w:val="18"/>
          <w:lang w:val="pt-BR"/>
        </w:rPr>
        <w:t>Extension</w:t>
      </w:r>
      <w:proofErr w:type="spellEnd"/>
      <w:r w:rsidRPr="00CE2303">
        <w:rPr>
          <w:rFonts w:ascii="Verdana" w:hAnsi="Verdana"/>
          <w:i/>
          <w:color w:val="000000" w:themeColor="text1"/>
          <w:sz w:val="18"/>
          <w:szCs w:val="18"/>
          <w:lang w:val="pt-BR"/>
        </w:rPr>
        <w:t xml:space="preserve"> Point</w:t>
      </w:r>
      <w:r w:rsidR="00B348A5">
        <w:rPr>
          <w:rFonts w:ascii="Verdana" w:hAnsi="Verdana"/>
          <w:i/>
          <w:color w:val="000000" w:themeColor="text1"/>
          <w:sz w:val="18"/>
          <w:szCs w:val="18"/>
          <w:lang w:val="pt-BR"/>
        </w:rPr>
        <w:t>.</w:t>
      </w:r>
    </w:p>
    <w:p w14:paraId="145445DD" w14:textId="77777777" w:rsidR="00C57A42" w:rsidRDefault="00C57A42" w:rsidP="005B52C0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</w:p>
    <w:p w14:paraId="066BAEC3" w14:textId="77777777" w:rsidR="005B52C0" w:rsidRPr="005B52C0" w:rsidRDefault="005B52C0" w:rsidP="005B52C0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 w:rsidRPr="005B52C0">
        <w:rPr>
          <w:rFonts w:ascii="Verdana" w:hAnsi="Verdana"/>
          <w:sz w:val="20"/>
          <w:szCs w:val="20"/>
          <w:lang w:val="pt-BR"/>
        </w:rPr>
        <w:t xml:space="preserve">A relação </w:t>
      </w:r>
      <w:proofErr w:type="spellStart"/>
      <w:r w:rsidRPr="005B52C0">
        <w:rPr>
          <w:rFonts w:ascii="Verdana" w:hAnsi="Verdana"/>
          <w:i/>
          <w:sz w:val="20"/>
          <w:szCs w:val="20"/>
          <w:lang w:val="pt-BR"/>
        </w:rPr>
        <w:t>extend</w:t>
      </w:r>
      <w:proofErr w:type="spellEnd"/>
      <w:r w:rsidRPr="005B52C0">
        <w:rPr>
          <w:rFonts w:ascii="Verdana" w:hAnsi="Verdana"/>
          <w:sz w:val="20"/>
          <w:szCs w:val="20"/>
          <w:lang w:val="pt-BR"/>
        </w:rPr>
        <w:t>, em casos de uso para sistemas únicos são utilizados para estender um caso de uso base em diferentes caminhos, de acordo com a verificação de certas circunstâncias.</w:t>
      </w:r>
    </w:p>
    <w:p w14:paraId="6C1C1D85" w14:textId="77777777" w:rsidR="005B52C0" w:rsidRDefault="005B52C0" w:rsidP="005B52C0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 w:rsidRPr="005B52C0">
        <w:rPr>
          <w:rFonts w:ascii="Verdana" w:hAnsi="Verdana"/>
          <w:sz w:val="20"/>
          <w:szCs w:val="20"/>
          <w:lang w:val="pt-BR"/>
        </w:rPr>
        <w:lastRenderedPageBreak/>
        <w:t>Pontos de extensão (</w:t>
      </w:r>
      <w:proofErr w:type="spellStart"/>
      <w:r w:rsidRPr="005B52C0">
        <w:rPr>
          <w:rFonts w:ascii="Verdana" w:hAnsi="Verdana"/>
          <w:i/>
          <w:sz w:val="20"/>
          <w:szCs w:val="20"/>
          <w:lang w:val="pt-BR"/>
        </w:rPr>
        <w:t>extension</w:t>
      </w:r>
      <w:proofErr w:type="spellEnd"/>
      <w:r w:rsidRPr="005B52C0">
        <w:rPr>
          <w:rFonts w:ascii="Verdana" w:hAnsi="Verdana"/>
          <w:i/>
          <w:sz w:val="20"/>
          <w:szCs w:val="20"/>
          <w:lang w:val="pt-BR"/>
        </w:rPr>
        <w:t xml:space="preserve"> points</w:t>
      </w:r>
      <w:r w:rsidRPr="005B52C0">
        <w:rPr>
          <w:rFonts w:ascii="Verdana" w:hAnsi="Verdana"/>
          <w:sz w:val="20"/>
          <w:szCs w:val="20"/>
          <w:lang w:val="pt-BR"/>
        </w:rPr>
        <w:t>) são usados em locais específicos no caso de uso base onde extensões podem ser adicionadas. Um caso de uso de extensão pode estender o caso de uso base nestes pontos de extensão.</w:t>
      </w:r>
    </w:p>
    <w:p w14:paraId="0DA55761" w14:textId="77777777" w:rsidR="00D128EB" w:rsidRPr="005B52C0" w:rsidRDefault="00D128EB" w:rsidP="00D128EB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 w:rsidRPr="005B52C0">
        <w:rPr>
          <w:rFonts w:ascii="Verdana" w:hAnsi="Verdana"/>
          <w:sz w:val="20"/>
          <w:szCs w:val="20"/>
          <w:lang w:val="pt-BR"/>
        </w:rPr>
        <w:t xml:space="preserve">No exemplo apresentado na Figura </w:t>
      </w:r>
      <w:r>
        <w:rPr>
          <w:rFonts w:ascii="Verdana" w:hAnsi="Verdana"/>
          <w:sz w:val="20"/>
          <w:szCs w:val="20"/>
          <w:lang w:val="pt-BR"/>
        </w:rPr>
        <w:t>3</w:t>
      </w:r>
      <w:r w:rsidRPr="005B52C0">
        <w:rPr>
          <w:rFonts w:ascii="Verdana" w:hAnsi="Verdana"/>
          <w:sz w:val="20"/>
          <w:szCs w:val="20"/>
          <w:lang w:val="pt-BR"/>
        </w:rPr>
        <w:t xml:space="preserve">, temos uma situação na qual o ponto de extensão </w:t>
      </w:r>
      <w:r w:rsidRPr="005B52C0">
        <w:rPr>
          <w:rFonts w:ascii="Verdana" w:hAnsi="Verdana"/>
          <w:b/>
          <w:sz w:val="20"/>
          <w:szCs w:val="20"/>
          <w:lang w:val="pt-BR"/>
        </w:rPr>
        <w:t>pagamento</w:t>
      </w:r>
      <w:r w:rsidRPr="005B52C0">
        <w:rPr>
          <w:rFonts w:ascii="Verdana" w:hAnsi="Verdana"/>
          <w:b/>
          <w:i/>
          <w:sz w:val="20"/>
          <w:szCs w:val="20"/>
          <w:lang w:val="pt-BR"/>
        </w:rPr>
        <w:t xml:space="preserve"> </w:t>
      </w:r>
      <w:r w:rsidRPr="005B52C0">
        <w:rPr>
          <w:rFonts w:ascii="Verdana" w:hAnsi="Verdana"/>
          <w:sz w:val="20"/>
          <w:szCs w:val="20"/>
          <w:lang w:val="pt-BR"/>
        </w:rPr>
        <w:t xml:space="preserve">é opcionalmente resolvido pelos pontos de extensão </w:t>
      </w:r>
      <w:r w:rsidRPr="005B52C0">
        <w:rPr>
          <w:rFonts w:ascii="Verdana" w:hAnsi="Verdana"/>
          <w:b/>
          <w:sz w:val="20"/>
          <w:szCs w:val="20"/>
          <w:lang w:val="pt-BR"/>
        </w:rPr>
        <w:t xml:space="preserve">Pagar com Cartão de Crédito </w:t>
      </w:r>
      <w:r w:rsidRPr="005B52C0">
        <w:rPr>
          <w:rFonts w:ascii="Verdana" w:hAnsi="Verdana"/>
          <w:sz w:val="20"/>
          <w:szCs w:val="20"/>
          <w:lang w:val="pt-BR"/>
        </w:rPr>
        <w:t xml:space="preserve">e/ou </w:t>
      </w:r>
      <w:r w:rsidRPr="005B52C0">
        <w:rPr>
          <w:rFonts w:ascii="Verdana" w:hAnsi="Verdana"/>
          <w:b/>
          <w:sz w:val="20"/>
          <w:szCs w:val="20"/>
          <w:lang w:val="pt-BR"/>
        </w:rPr>
        <w:t>Pagar com Cartão de Débito</w:t>
      </w:r>
      <w:r w:rsidRPr="005B52C0">
        <w:rPr>
          <w:rFonts w:ascii="Verdana" w:hAnsi="Verdana"/>
          <w:sz w:val="20"/>
          <w:szCs w:val="20"/>
          <w:lang w:val="pt-BR"/>
        </w:rPr>
        <w:t xml:space="preserve"> e, obrigatoriamente, o </w:t>
      </w:r>
      <w:r w:rsidRPr="005B52C0">
        <w:rPr>
          <w:rFonts w:ascii="Verdana" w:hAnsi="Verdana"/>
          <w:b/>
          <w:sz w:val="20"/>
          <w:szCs w:val="20"/>
          <w:lang w:val="pt-BR"/>
        </w:rPr>
        <w:t>Pagar com Dinheiro</w:t>
      </w:r>
      <w:r w:rsidRPr="005B52C0">
        <w:rPr>
          <w:rFonts w:ascii="Verdana" w:hAnsi="Verdana"/>
          <w:b/>
          <w:i/>
          <w:sz w:val="20"/>
          <w:szCs w:val="20"/>
          <w:lang w:val="pt-BR"/>
        </w:rPr>
        <w:t xml:space="preserve">. </w:t>
      </w:r>
      <w:r w:rsidRPr="005B52C0">
        <w:rPr>
          <w:rFonts w:ascii="Verdana" w:hAnsi="Verdana"/>
          <w:sz w:val="20"/>
          <w:szCs w:val="20"/>
          <w:lang w:val="pt-BR"/>
        </w:rPr>
        <w:t>Portanto, um produto desta linha deverá aceitar pagamento em dinheiro, de forma obrigatória (</w:t>
      </w:r>
      <w:r w:rsidRPr="005B52C0">
        <w:rPr>
          <w:rFonts w:ascii="Verdana" w:hAnsi="Verdana"/>
          <w:i/>
          <w:sz w:val="20"/>
          <w:szCs w:val="20"/>
          <w:lang w:val="pt-BR"/>
        </w:rPr>
        <w:t>&lt;&lt;</w:t>
      </w:r>
      <w:proofErr w:type="spellStart"/>
      <w:r w:rsidRPr="005B52C0">
        <w:rPr>
          <w:rFonts w:ascii="Verdana" w:hAnsi="Verdana"/>
          <w:i/>
          <w:sz w:val="20"/>
          <w:szCs w:val="20"/>
          <w:lang w:val="pt-BR"/>
        </w:rPr>
        <w:t>kernel</w:t>
      </w:r>
      <w:proofErr w:type="spellEnd"/>
      <w:r w:rsidRPr="005B52C0">
        <w:rPr>
          <w:rFonts w:ascii="Verdana" w:hAnsi="Verdana"/>
          <w:i/>
          <w:sz w:val="20"/>
          <w:szCs w:val="20"/>
          <w:lang w:val="pt-BR"/>
        </w:rPr>
        <w:t>&gt;&gt;</w:t>
      </w:r>
      <w:r w:rsidRPr="005B52C0">
        <w:rPr>
          <w:rFonts w:ascii="Verdana" w:hAnsi="Verdana"/>
          <w:sz w:val="20"/>
          <w:szCs w:val="20"/>
          <w:lang w:val="pt-BR"/>
        </w:rPr>
        <w:t>) e poderá ter ambas as opções: pagamento com cartão de crédito e débito, ou somente uma delas (</w:t>
      </w:r>
      <w:r w:rsidRPr="005B52C0">
        <w:rPr>
          <w:rFonts w:ascii="Verdana" w:hAnsi="Verdana"/>
          <w:i/>
          <w:sz w:val="20"/>
          <w:szCs w:val="20"/>
          <w:lang w:val="pt-BR"/>
        </w:rPr>
        <w:t>&lt;&lt;</w:t>
      </w:r>
      <w:proofErr w:type="spellStart"/>
      <w:r w:rsidRPr="005B52C0">
        <w:rPr>
          <w:rFonts w:ascii="Verdana" w:hAnsi="Verdana"/>
          <w:i/>
          <w:sz w:val="20"/>
          <w:szCs w:val="20"/>
          <w:lang w:val="pt-BR"/>
        </w:rPr>
        <w:t>optional</w:t>
      </w:r>
      <w:proofErr w:type="spellEnd"/>
      <w:r w:rsidRPr="005B52C0">
        <w:rPr>
          <w:rFonts w:ascii="Verdana" w:hAnsi="Verdana"/>
          <w:i/>
          <w:sz w:val="20"/>
          <w:szCs w:val="20"/>
          <w:lang w:val="pt-BR"/>
        </w:rPr>
        <w:t>&gt;&gt;</w:t>
      </w:r>
      <w:r w:rsidRPr="005B52C0">
        <w:rPr>
          <w:rFonts w:ascii="Verdana" w:hAnsi="Verdana"/>
          <w:sz w:val="20"/>
          <w:szCs w:val="20"/>
          <w:lang w:val="pt-BR"/>
        </w:rPr>
        <w:t>).</w:t>
      </w:r>
    </w:p>
    <w:p w14:paraId="1B15D29F" w14:textId="77777777" w:rsidR="00D128EB" w:rsidRPr="005B52C0" w:rsidRDefault="00D128EB" w:rsidP="00D128EB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 w:rsidRPr="005B52C0">
        <w:rPr>
          <w:rFonts w:ascii="Verdana" w:hAnsi="Verdana"/>
          <w:sz w:val="20"/>
          <w:szCs w:val="20"/>
          <w:lang w:val="pt-BR"/>
        </w:rPr>
        <w:t>Desta forma, pontos de extensão podem ser usados em modelos de variabilidade de LP</w:t>
      </w:r>
      <w:r>
        <w:rPr>
          <w:rFonts w:ascii="Verdana" w:hAnsi="Verdana"/>
          <w:sz w:val="20"/>
          <w:szCs w:val="20"/>
          <w:lang w:val="pt-BR"/>
        </w:rPr>
        <w:t xml:space="preserve"> para apresentar variabilidades alternativas, variabilidades opcionais e para evolução futura </w:t>
      </w:r>
      <w:r w:rsidRPr="005B52C0">
        <w:rPr>
          <w:rFonts w:ascii="Verdana" w:hAnsi="Verdana"/>
          <w:sz w:val="20"/>
          <w:szCs w:val="20"/>
          <w:lang w:val="pt-BR"/>
        </w:rPr>
        <w:t>(Ex.: Aceitar pagamento através de dinheiro eletrônico, no exemplo apresentado na Figura 6.)</w:t>
      </w:r>
      <w:r>
        <w:rPr>
          <w:rFonts w:ascii="Verdana" w:hAnsi="Verdana"/>
          <w:sz w:val="20"/>
          <w:szCs w:val="20"/>
          <w:lang w:val="pt-BR"/>
        </w:rPr>
        <w:t>.</w:t>
      </w:r>
    </w:p>
    <w:p w14:paraId="2F3DE1F3" w14:textId="77777777" w:rsidR="00D128EB" w:rsidRPr="005B52C0" w:rsidRDefault="00D128EB" w:rsidP="005B52C0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</w:p>
    <w:p w14:paraId="7411E5FD" w14:textId="77777777" w:rsidR="005B52C0" w:rsidRPr="005B52C0" w:rsidRDefault="005B52C0" w:rsidP="005B52C0">
      <w:pPr>
        <w:spacing w:after="120"/>
        <w:jc w:val="both"/>
        <w:rPr>
          <w:rFonts w:ascii="Verdana" w:hAnsi="Verdana"/>
          <w:b/>
          <w:i/>
          <w:sz w:val="20"/>
          <w:szCs w:val="20"/>
          <w:lang w:val="pt-BR"/>
        </w:rPr>
      </w:pPr>
      <w:r w:rsidRPr="005B52C0">
        <w:rPr>
          <w:rFonts w:ascii="Verdana" w:hAnsi="Verdana"/>
          <w:b/>
          <w:i/>
          <w:sz w:val="20"/>
          <w:szCs w:val="20"/>
          <w:lang w:val="pt-BR"/>
        </w:rPr>
        <w:t>Relações de Inclusão (Include)</w:t>
      </w:r>
    </w:p>
    <w:p w14:paraId="6DB11C62" w14:textId="77777777" w:rsidR="005B52C0" w:rsidRPr="005B52C0" w:rsidRDefault="005B52C0" w:rsidP="00D128EB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 w:rsidRPr="005B52C0">
        <w:rPr>
          <w:rFonts w:ascii="Verdana" w:hAnsi="Verdana"/>
          <w:sz w:val="20"/>
          <w:szCs w:val="20"/>
          <w:lang w:val="pt-BR"/>
        </w:rPr>
        <w:t>Estas sequências comuns de interação refletem uma funcionalidade que é comum a mais de um caso de uso. Sequências de interação comuns pode ser extraídas de diversos casos de uso originais e transformados em novos casos de uso, chamados casos de uso de inclusão</w:t>
      </w:r>
    </w:p>
    <w:p w14:paraId="3E9AD702" w14:textId="77777777" w:rsidR="005B52C0" w:rsidRPr="005B52C0" w:rsidRDefault="005B52C0" w:rsidP="00A10CF2">
      <w:pPr>
        <w:ind w:firstLine="567"/>
        <w:jc w:val="both"/>
        <w:rPr>
          <w:rFonts w:ascii="Verdana" w:hAnsi="Verdana"/>
          <w:sz w:val="20"/>
          <w:szCs w:val="20"/>
          <w:lang w:val="pt-BR"/>
        </w:rPr>
      </w:pPr>
      <w:r w:rsidRPr="005B52C0">
        <w:rPr>
          <w:rFonts w:ascii="Verdana" w:hAnsi="Verdana"/>
          <w:sz w:val="20"/>
          <w:szCs w:val="20"/>
          <w:lang w:val="pt-BR"/>
        </w:rPr>
        <w:t xml:space="preserve">Em linhas de produto, as relações de </w:t>
      </w:r>
      <w:r w:rsidRPr="005B52C0">
        <w:rPr>
          <w:rFonts w:ascii="Verdana" w:hAnsi="Verdana"/>
          <w:i/>
          <w:sz w:val="20"/>
          <w:szCs w:val="20"/>
          <w:lang w:val="pt-BR"/>
        </w:rPr>
        <w:t>include</w:t>
      </w:r>
      <w:r w:rsidRPr="005B52C0">
        <w:rPr>
          <w:rFonts w:ascii="Verdana" w:hAnsi="Verdana"/>
          <w:sz w:val="20"/>
          <w:szCs w:val="20"/>
          <w:lang w:val="pt-BR"/>
        </w:rPr>
        <w:t xml:space="preserve"> servem para representar casos de uso opcionais, ou obrigatórios. No primeiro caso, só será utilizado na LP, se a condição determinada para seu uso for verdadeira.</w:t>
      </w:r>
    </w:p>
    <w:p w14:paraId="553747DC" w14:textId="77777777" w:rsidR="005B52C0" w:rsidRPr="00CE2303" w:rsidRDefault="00D128EB" w:rsidP="00A10CF2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  <w:lang w:val="pt-BR"/>
        </w:rPr>
        <w:drawing>
          <wp:inline distT="0" distB="0" distL="0" distR="0" wp14:anchorId="16E498F0" wp14:editId="3007EDE2">
            <wp:extent cx="4712185" cy="2550160"/>
            <wp:effectExtent l="0" t="0" r="0" b="254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lu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1987" cy="255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C9E7C" w14:textId="77777777" w:rsidR="005B52C0" w:rsidRPr="00CE2303" w:rsidRDefault="005B52C0" w:rsidP="00A10CF2">
      <w:pPr>
        <w:spacing w:after="60"/>
        <w:jc w:val="center"/>
        <w:rPr>
          <w:rFonts w:ascii="Verdana" w:hAnsi="Verdana"/>
          <w:i/>
          <w:color w:val="000000" w:themeColor="text1"/>
          <w:sz w:val="18"/>
          <w:szCs w:val="18"/>
          <w:lang w:val="pt-BR"/>
        </w:rPr>
      </w:pPr>
      <w:r w:rsidRPr="00CE230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 w:rsidR="00D15F1D">
        <w:rPr>
          <w:rFonts w:ascii="Verdana" w:hAnsi="Verdana"/>
          <w:color w:val="000000" w:themeColor="text1"/>
          <w:sz w:val="18"/>
          <w:szCs w:val="18"/>
          <w:lang w:val="pt-BR"/>
        </w:rPr>
        <w:t>4</w:t>
      </w:r>
      <w:r w:rsidRPr="00CE230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Diagrama de Casos de Usos com Exemplo de Relação </w:t>
      </w:r>
      <w:r w:rsidRPr="00CE2303">
        <w:rPr>
          <w:rFonts w:ascii="Verdana" w:hAnsi="Verdana"/>
          <w:i/>
          <w:color w:val="000000" w:themeColor="text1"/>
          <w:sz w:val="18"/>
          <w:szCs w:val="18"/>
          <w:lang w:val="pt-BR"/>
        </w:rPr>
        <w:t>Include</w:t>
      </w:r>
    </w:p>
    <w:p w14:paraId="78E8D389" w14:textId="77777777" w:rsidR="005B52C0" w:rsidRPr="005B52C0" w:rsidRDefault="005B52C0" w:rsidP="00A10CF2">
      <w:pPr>
        <w:spacing w:after="60"/>
        <w:ind w:firstLine="709"/>
        <w:jc w:val="both"/>
        <w:rPr>
          <w:rFonts w:ascii="Verdana" w:hAnsi="Verdana"/>
          <w:sz w:val="20"/>
          <w:szCs w:val="20"/>
          <w:lang w:val="pt-BR"/>
        </w:rPr>
      </w:pPr>
      <w:r w:rsidRPr="005B52C0">
        <w:rPr>
          <w:rFonts w:ascii="Verdana" w:hAnsi="Verdana"/>
          <w:sz w:val="20"/>
          <w:szCs w:val="20"/>
          <w:lang w:val="pt-BR"/>
        </w:rPr>
        <w:t xml:space="preserve">Na Figura </w:t>
      </w:r>
      <w:r w:rsidR="00D15F1D">
        <w:rPr>
          <w:rFonts w:ascii="Verdana" w:hAnsi="Verdana"/>
          <w:sz w:val="20"/>
          <w:szCs w:val="20"/>
          <w:lang w:val="pt-BR"/>
        </w:rPr>
        <w:t>4</w:t>
      </w:r>
      <w:r w:rsidRPr="005B52C0">
        <w:rPr>
          <w:rFonts w:ascii="Verdana" w:hAnsi="Verdana"/>
          <w:sz w:val="20"/>
          <w:szCs w:val="20"/>
          <w:lang w:val="pt-BR"/>
        </w:rPr>
        <w:t xml:space="preserve">, temos um exemplo de uso da relação </w:t>
      </w:r>
      <w:r w:rsidRPr="005B52C0">
        <w:rPr>
          <w:rFonts w:ascii="Verdana" w:hAnsi="Verdana"/>
          <w:i/>
          <w:sz w:val="20"/>
          <w:szCs w:val="20"/>
          <w:lang w:val="pt-BR"/>
        </w:rPr>
        <w:t>include</w:t>
      </w:r>
      <w:r w:rsidRPr="005B52C0">
        <w:rPr>
          <w:rFonts w:ascii="Verdana" w:hAnsi="Verdana"/>
          <w:sz w:val="20"/>
          <w:szCs w:val="20"/>
          <w:lang w:val="pt-BR"/>
        </w:rPr>
        <w:t>, onde dois casos de uso são opcionais</w:t>
      </w:r>
      <w:r w:rsidR="00D128EB">
        <w:rPr>
          <w:rFonts w:ascii="Verdana" w:hAnsi="Verdana"/>
          <w:sz w:val="20"/>
          <w:szCs w:val="20"/>
          <w:lang w:val="pt-BR"/>
        </w:rPr>
        <w:t xml:space="preserve">, </w:t>
      </w:r>
      <w:r w:rsidR="00D128EB">
        <w:rPr>
          <w:rFonts w:ascii="Verdana" w:hAnsi="Verdana"/>
          <w:b/>
          <w:sz w:val="20"/>
          <w:szCs w:val="20"/>
          <w:lang w:val="pt-BR"/>
        </w:rPr>
        <w:t xml:space="preserve">Depositar Valor </w:t>
      </w:r>
      <w:r w:rsidR="00D128EB">
        <w:rPr>
          <w:rFonts w:ascii="Verdana" w:hAnsi="Verdana"/>
          <w:sz w:val="20"/>
          <w:szCs w:val="20"/>
          <w:lang w:val="pt-BR"/>
        </w:rPr>
        <w:t xml:space="preserve">e </w:t>
      </w:r>
      <w:r w:rsidR="00D128EB">
        <w:rPr>
          <w:rFonts w:ascii="Verdana" w:hAnsi="Verdana"/>
          <w:b/>
          <w:sz w:val="20"/>
          <w:szCs w:val="20"/>
          <w:lang w:val="pt-BR"/>
        </w:rPr>
        <w:t>Visualizar Saldo</w:t>
      </w:r>
      <w:r w:rsidRPr="005B52C0">
        <w:rPr>
          <w:rFonts w:ascii="Verdana" w:hAnsi="Verdana"/>
          <w:sz w:val="20"/>
          <w:szCs w:val="20"/>
          <w:lang w:val="pt-BR"/>
        </w:rPr>
        <w:t xml:space="preserve"> (</w:t>
      </w:r>
      <w:r w:rsidRPr="005B52C0">
        <w:rPr>
          <w:rFonts w:ascii="Verdana" w:hAnsi="Verdana"/>
          <w:i/>
          <w:sz w:val="20"/>
          <w:szCs w:val="20"/>
          <w:lang w:val="pt-BR"/>
        </w:rPr>
        <w:t>&lt;&lt;</w:t>
      </w:r>
      <w:proofErr w:type="spellStart"/>
      <w:r w:rsidRPr="005B52C0">
        <w:rPr>
          <w:rFonts w:ascii="Verdana" w:hAnsi="Verdana"/>
          <w:i/>
          <w:sz w:val="20"/>
          <w:szCs w:val="20"/>
          <w:lang w:val="pt-BR"/>
        </w:rPr>
        <w:t>optional</w:t>
      </w:r>
      <w:proofErr w:type="spellEnd"/>
      <w:r w:rsidRPr="005B52C0">
        <w:rPr>
          <w:rFonts w:ascii="Verdana" w:hAnsi="Verdana"/>
          <w:i/>
          <w:sz w:val="20"/>
          <w:szCs w:val="20"/>
          <w:lang w:val="pt-BR"/>
        </w:rPr>
        <w:t>&gt;&gt;</w:t>
      </w:r>
      <w:r w:rsidRPr="005B52C0">
        <w:rPr>
          <w:rFonts w:ascii="Verdana" w:hAnsi="Verdana"/>
          <w:sz w:val="20"/>
          <w:szCs w:val="20"/>
          <w:lang w:val="pt-BR"/>
        </w:rPr>
        <w:t>), ou seja, podem ou não estarem presentes nos membros da LP; e ainda, três casos de uso obrigatórios (</w:t>
      </w:r>
      <w:r w:rsidRPr="005B52C0">
        <w:rPr>
          <w:rFonts w:ascii="Verdana" w:hAnsi="Verdana"/>
          <w:i/>
          <w:sz w:val="20"/>
          <w:szCs w:val="20"/>
          <w:lang w:val="pt-BR"/>
        </w:rPr>
        <w:t>&lt;&lt;</w:t>
      </w:r>
      <w:proofErr w:type="spellStart"/>
      <w:r w:rsidRPr="005B52C0">
        <w:rPr>
          <w:rFonts w:ascii="Verdana" w:hAnsi="Verdana"/>
          <w:i/>
          <w:sz w:val="20"/>
          <w:szCs w:val="20"/>
          <w:lang w:val="pt-BR"/>
        </w:rPr>
        <w:t>kernel</w:t>
      </w:r>
      <w:proofErr w:type="spellEnd"/>
      <w:r w:rsidRPr="005B52C0">
        <w:rPr>
          <w:rFonts w:ascii="Verdana" w:hAnsi="Verdana"/>
          <w:i/>
          <w:sz w:val="20"/>
          <w:szCs w:val="20"/>
          <w:lang w:val="pt-BR"/>
        </w:rPr>
        <w:t>&gt;&gt;</w:t>
      </w:r>
      <w:r w:rsidRPr="005B52C0">
        <w:rPr>
          <w:rFonts w:ascii="Verdana" w:hAnsi="Verdana"/>
          <w:sz w:val="20"/>
          <w:szCs w:val="20"/>
          <w:lang w:val="pt-BR"/>
        </w:rPr>
        <w:t>).</w:t>
      </w:r>
    </w:p>
    <w:p w14:paraId="7E049F80" w14:textId="5C059226" w:rsidR="002136F0" w:rsidRDefault="002136F0">
      <w:pPr>
        <w:widowControl/>
        <w:suppressAutoHyphens w:val="0"/>
        <w:autoSpaceDN/>
        <w:spacing w:after="200" w:line="276" w:lineRule="auto"/>
        <w:textAlignment w:val="auto"/>
        <w:rPr>
          <w:rFonts w:ascii="Verdana" w:hAnsi="Verdana"/>
          <w:color w:val="000000" w:themeColor="text1"/>
          <w:sz w:val="20"/>
          <w:lang w:val="pt-BR"/>
        </w:rPr>
      </w:pPr>
      <w:r>
        <w:rPr>
          <w:rFonts w:ascii="Verdana" w:hAnsi="Verdana"/>
          <w:color w:val="000000" w:themeColor="text1"/>
          <w:sz w:val="20"/>
          <w:lang w:val="pt-BR"/>
        </w:rPr>
        <w:br w:type="page"/>
      </w:r>
    </w:p>
    <w:p w14:paraId="5CC4AF0B" w14:textId="3502155C" w:rsidR="005B52C0" w:rsidRDefault="002136F0" w:rsidP="002136F0">
      <w:pPr>
        <w:spacing w:after="120"/>
        <w:ind w:firstLine="567"/>
        <w:jc w:val="both"/>
        <w:rPr>
          <w:rFonts w:ascii="Verdana" w:hAnsi="Verdana"/>
          <w:b/>
          <w:color w:val="000000" w:themeColor="text1"/>
          <w:sz w:val="22"/>
          <w:lang w:val="pt-BR"/>
        </w:rPr>
      </w:pPr>
      <w:bookmarkStart w:id="0" w:name="_GoBack"/>
      <w:r w:rsidRPr="002136F0">
        <w:rPr>
          <w:rFonts w:ascii="Verdana" w:hAnsi="Verdana"/>
          <w:b/>
          <w:color w:val="000000" w:themeColor="text1"/>
          <w:sz w:val="22"/>
          <w:lang w:val="pt-BR"/>
        </w:rPr>
        <w:lastRenderedPageBreak/>
        <w:t>III. Exercício</w:t>
      </w:r>
    </w:p>
    <w:p w14:paraId="2BFA4490" w14:textId="77777777" w:rsidR="002136F0" w:rsidRDefault="002136F0" w:rsidP="002136F0">
      <w:pPr>
        <w:spacing w:after="120"/>
        <w:jc w:val="both"/>
        <w:rPr>
          <w:rFonts w:ascii="Verdana" w:hAnsi="Verdana"/>
          <w:b/>
          <w:color w:val="000000" w:themeColor="text1"/>
          <w:sz w:val="22"/>
          <w:lang w:val="pt-BR"/>
        </w:rPr>
      </w:pPr>
    </w:p>
    <w:p w14:paraId="34A7CD56" w14:textId="624788C1" w:rsidR="002136F0" w:rsidRDefault="002136F0" w:rsidP="002136F0">
      <w:pPr>
        <w:spacing w:after="120"/>
        <w:ind w:firstLine="567"/>
        <w:jc w:val="both"/>
        <w:rPr>
          <w:rFonts w:ascii="Verdana" w:hAnsi="Verdana"/>
          <w:color w:val="000000" w:themeColor="text1"/>
          <w:sz w:val="22"/>
          <w:lang w:val="pt-BR"/>
        </w:rPr>
      </w:pPr>
      <w:r>
        <w:rPr>
          <w:rFonts w:ascii="Verdana" w:hAnsi="Verdana"/>
          <w:color w:val="000000" w:themeColor="text1"/>
          <w:sz w:val="22"/>
          <w:lang w:val="pt-BR"/>
        </w:rPr>
        <w:t xml:space="preserve">Dada a descrição da linha de produto de software pedagógica </w:t>
      </w:r>
      <w:r>
        <w:rPr>
          <w:rFonts w:ascii="Verdana" w:hAnsi="Verdana"/>
          <w:i/>
          <w:color w:val="000000" w:themeColor="text1"/>
          <w:sz w:val="22"/>
          <w:lang w:val="pt-BR"/>
        </w:rPr>
        <w:t xml:space="preserve">Arcade Game </w:t>
      </w:r>
      <w:proofErr w:type="spellStart"/>
      <w:r>
        <w:rPr>
          <w:rFonts w:ascii="Verdana" w:hAnsi="Verdana"/>
          <w:i/>
          <w:color w:val="000000" w:themeColor="text1"/>
          <w:sz w:val="22"/>
          <w:lang w:val="pt-BR"/>
        </w:rPr>
        <w:t>Maker</w:t>
      </w:r>
      <w:proofErr w:type="spellEnd"/>
      <w:r>
        <w:rPr>
          <w:rFonts w:ascii="Verdana" w:hAnsi="Verdana"/>
          <w:color w:val="000000" w:themeColor="text1"/>
          <w:sz w:val="22"/>
          <w:lang w:val="pt-BR"/>
        </w:rPr>
        <w:t xml:space="preserve"> (AGM)</w:t>
      </w:r>
      <w:r w:rsidR="00940FFF">
        <w:rPr>
          <w:rFonts w:ascii="Verdana" w:hAnsi="Verdana"/>
          <w:color w:val="000000" w:themeColor="text1"/>
          <w:sz w:val="22"/>
          <w:lang w:val="pt-BR"/>
        </w:rPr>
        <w:t>,</w:t>
      </w:r>
      <w:r>
        <w:rPr>
          <w:rFonts w:ascii="Verdana" w:hAnsi="Verdana"/>
          <w:color w:val="000000" w:themeColor="text1"/>
          <w:sz w:val="22"/>
          <w:lang w:val="pt-BR"/>
        </w:rPr>
        <w:t xml:space="preserve"> desenvolvida pelo </w:t>
      </w:r>
      <w:r w:rsidRPr="002136F0">
        <w:rPr>
          <w:rFonts w:ascii="Verdana" w:hAnsi="Verdana"/>
          <w:i/>
          <w:color w:val="000000" w:themeColor="text1"/>
          <w:sz w:val="22"/>
          <w:lang w:val="pt-BR"/>
        </w:rPr>
        <w:t xml:space="preserve">Software </w:t>
      </w:r>
      <w:proofErr w:type="spellStart"/>
      <w:r w:rsidRPr="002136F0">
        <w:rPr>
          <w:rFonts w:ascii="Verdana" w:hAnsi="Verdana"/>
          <w:i/>
          <w:color w:val="000000" w:themeColor="text1"/>
          <w:sz w:val="22"/>
          <w:lang w:val="pt-BR"/>
        </w:rPr>
        <w:t>Engineering</w:t>
      </w:r>
      <w:proofErr w:type="spellEnd"/>
      <w:r w:rsidRPr="002136F0">
        <w:rPr>
          <w:rFonts w:ascii="Verdana" w:hAnsi="Verdana"/>
          <w:i/>
          <w:color w:val="000000" w:themeColor="text1"/>
          <w:sz w:val="22"/>
          <w:lang w:val="pt-BR"/>
        </w:rPr>
        <w:t xml:space="preserve"> </w:t>
      </w:r>
      <w:proofErr w:type="spellStart"/>
      <w:r w:rsidRPr="002136F0">
        <w:rPr>
          <w:rFonts w:ascii="Verdana" w:hAnsi="Verdana"/>
          <w:i/>
          <w:color w:val="000000" w:themeColor="text1"/>
          <w:sz w:val="22"/>
          <w:lang w:val="pt-BR"/>
        </w:rPr>
        <w:t>Institute</w:t>
      </w:r>
      <w:proofErr w:type="spellEnd"/>
      <w:r>
        <w:rPr>
          <w:rFonts w:ascii="Verdana" w:hAnsi="Verdana"/>
          <w:i/>
          <w:color w:val="000000" w:themeColor="text1"/>
          <w:sz w:val="22"/>
          <w:lang w:val="pt-BR"/>
        </w:rPr>
        <w:t xml:space="preserve"> </w:t>
      </w:r>
      <w:r>
        <w:rPr>
          <w:rFonts w:ascii="Verdana" w:hAnsi="Verdana"/>
          <w:color w:val="000000" w:themeColor="text1"/>
          <w:sz w:val="22"/>
          <w:lang w:val="pt-BR"/>
        </w:rPr>
        <w:t xml:space="preserve">(SEI) apresente por meio de um diagrama de casos de uso, com a aplicação da </w:t>
      </w:r>
      <w:r w:rsidRPr="002136F0">
        <w:rPr>
          <w:rFonts w:ascii="Verdana" w:hAnsi="Verdana"/>
          <w:b/>
          <w:color w:val="000000" w:themeColor="text1"/>
          <w:sz w:val="22"/>
          <w:lang w:val="pt-BR"/>
        </w:rPr>
        <w:t>Abordagem X</w:t>
      </w:r>
      <w:r>
        <w:rPr>
          <w:rFonts w:ascii="Verdana" w:hAnsi="Verdana"/>
          <w:color w:val="000000" w:themeColor="text1"/>
          <w:sz w:val="22"/>
          <w:lang w:val="pt-BR"/>
        </w:rPr>
        <w:t xml:space="preserve"> todas as variabilidades e similaridades descritas.</w:t>
      </w:r>
    </w:p>
    <w:p w14:paraId="7BB84971" w14:textId="2FF3D436" w:rsidR="002136F0" w:rsidRDefault="002136F0" w:rsidP="002136F0">
      <w:pPr>
        <w:spacing w:after="120"/>
        <w:ind w:firstLine="567"/>
        <w:jc w:val="both"/>
        <w:rPr>
          <w:rFonts w:ascii="Verdana" w:hAnsi="Verdana"/>
          <w:color w:val="000000" w:themeColor="text1"/>
          <w:sz w:val="22"/>
          <w:lang w:val="pt-BR"/>
        </w:rPr>
      </w:pPr>
      <w:r>
        <w:rPr>
          <w:rFonts w:ascii="Verdana" w:hAnsi="Verdana"/>
          <w:color w:val="000000" w:themeColor="text1"/>
          <w:sz w:val="22"/>
          <w:lang w:val="pt-BR"/>
        </w:rPr>
        <w:t xml:space="preserve">A LPS AGM é focada no desenvolvimento de jogos eletrônicos para celular, podendo gerar produtos com até três jogos diferentes: 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Brickles</w:t>
      </w:r>
      <w:proofErr w:type="spellEnd"/>
      <w:r>
        <w:rPr>
          <w:rFonts w:ascii="Verdana" w:hAnsi="Verdana"/>
          <w:b/>
          <w:color w:val="000000" w:themeColor="text1"/>
          <w:sz w:val="22"/>
          <w:lang w:val="pt-BR"/>
        </w:rPr>
        <w:t xml:space="preserve">, 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Pong</w:t>
      </w:r>
      <w:proofErr w:type="spellEnd"/>
      <w:r>
        <w:rPr>
          <w:rFonts w:ascii="Verdana" w:hAnsi="Verdana"/>
          <w:b/>
          <w:color w:val="000000" w:themeColor="text1"/>
          <w:sz w:val="22"/>
          <w:lang w:val="pt-BR"/>
        </w:rPr>
        <w:t xml:space="preserve"> </w:t>
      </w:r>
      <w:r>
        <w:rPr>
          <w:rFonts w:ascii="Verdana" w:hAnsi="Verdana"/>
          <w:color w:val="000000" w:themeColor="text1"/>
          <w:sz w:val="22"/>
          <w:lang w:val="pt-BR"/>
        </w:rPr>
        <w:t xml:space="preserve">e/ou 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Bowling</w:t>
      </w:r>
      <w:proofErr w:type="spellEnd"/>
      <w:r w:rsidR="00940FFF">
        <w:rPr>
          <w:rFonts w:ascii="Verdana" w:hAnsi="Verdana"/>
          <w:color w:val="000000" w:themeColor="text1"/>
          <w:sz w:val="22"/>
          <w:lang w:val="pt-BR"/>
        </w:rPr>
        <w:t>, mas pelo menos um deles deverá existir</w:t>
      </w:r>
      <w:r>
        <w:rPr>
          <w:rFonts w:ascii="Verdana" w:hAnsi="Verdana"/>
          <w:color w:val="000000" w:themeColor="text1"/>
          <w:sz w:val="22"/>
          <w:lang w:val="pt-BR"/>
        </w:rPr>
        <w:t>. Estes produtos podem apresentar configurações e elementos opcionais, como verificar a melhor pontuação obtida anteriormente (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Check</w:t>
      </w:r>
      <w:proofErr w:type="spellEnd"/>
      <w:r>
        <w:rPr>
          <w:rFonts w:ascii="Verdana" w:hAnsi="Verdana"/>
          <w:b/>
          <w:color w:val="000000" w:themeColor="text1"/>
          <w:sz w:val="22"/>
          <w:lang w:val="pt-BR"/>
        </w:rPr>
        <w:t xml:space="preserve"> 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Previous</w:t>
      </w:r>
      <w:proofErr w:type="spellEnd"/>
      <w:r>
        <w:rPr>
          <w:rFonts w:ascii="Verdana" w:hAnsi="Verdana"/>
          <w:b/>
          <w:color w:val="000000" w:themeColor="text1"/>
          <w:sz w:val="22"/>
          <w:lang w:val="pt-BR"/>
        </w:rPr>
        <w:t xml:space="preserve"> Best Score</w:t>
      </w:r>
      <w:r>
        <w:rPr>
          <w:rFonts w:ascii="Verdana" w:hAnsi="Verdana"/>
          <w:color w:val="000000" w:themeColor="text1"/>
          <w:sz w:val="22"/>
          <w:lang w:val="pt-BR"/>
        </w:rPr>
        <w:t>), que necessitará obrigatoriamente, se selecionada, do caso de uso salvar a pontuação (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Save</w:t>
      </w:r>
      <w:proofErr w:type="spellEnd"/>
      <w:r>
        <w:rPr>
          <w:rFonts w:ascii="Verdana" w:hAnsi="Verdana"/>
          <w:b/>
          <w:color w:val="000000" w:themeColor="text1"/>
          <w:sz w:val="22"/>
          <w:lang w:val="pt-BR"/>
        </w:rPr>
        <w:t xml:space="preserve"> Score</w:t>
      </w:r>
      <w:r>
        <w:rPr>
          <w:rFonts w:ascii="Verdana" w:hAnsi="Verdana"/>
          <w:color w:val="000000" w:themeColor="text1"/>
          <w:sz w:val="22"/>
          <w:lang w:val="pt-BR"/>
        </w:rPr>
        <w:t>). Todos os jogos devem possuir instalador (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Install</w:t>
      </w:r>
      <w:proofErr w:type="spellEnd"/>
      <w:r>
        <w:rPr>
          <w:rFonts w:ascii="Verdana" w:hAnsi="Verdana"/>
          <w:b/>
          <w:color w:val="000000" w:themeColor="text1"/>
          <w:sz w:val="22"/>
          <w:lang w:val="pt-BR"/>
        </w:rPr>
        <w:t xml:space="preserve"> Game</w:t>
      </w:r>
      <w:r>
        <w:rPr>
          <w:rFonts w:ascii="Verdana" w:hAnsi="Verdana"/>
          <w:color w:val="000000" w:themeColor="text1"/>
          <w:sz w:val="22"/>
          <w:lang w:val="pt-BR"/>
        </w:rPr>
        <w:t>), também devem permitir salvar o jogo (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Save</w:t>
      </w:r>
      <w:proofErr w:type="spellEnd"/>
      <w:r>
        <w:rPr>
          <w:rFonts w:ascii="Verdana" w:hAnsi="Verdana"/>
          <w:b/>
          <w:color w:val="000000" w:themeColor="text1"/>
          <w:sz w:val="22"/>
          <w:lang w:val="pt-BR"/>
        </w:rPr>
        <w:t xml:space="preserve"> Game</w:t>
      </w:r>
      <w:r>
        <w:rPr>
          <w:rFonts w:ascii="Verdana" w:hAnsi="Verdana"/>
          <w:color w:val="000000" w:themeColor="text1"/>
          <w:sz w:val="22"/>
          <w:lang w:val="pt-BR"/>
        </w:rPr>
        <w:t>), sair do mesmo (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Exit</w:t>
      </w:r>
      <w:proofErr w:type="spellEnd"/>
      <w:r>
        <w:rPr>
          <w:rFonts w:ascii="Verdana" w:hAnsi="Verdana"/>
          <w:b/>
          <w:color w:val="000000" w:themeColor="text1"/>
          <w:sz w:val="22"/>
          <w:lang w:val="pt-BR"/>
        </w:rPr>
        <w:t xml:space="preserve"> Game</w:t>
      </w:r>
      <w:r>
        <w:rPr>
          <w:rFonts w:ascii="Verdana" w:hAnsi="Verdana"/>
          <w:color w:val="000000" w:themeColor="text1"/>
          <w:sz w:val="22"/>
          <w:lang w:val="pt-BR"/>
        </w:rPr>
        <w:t>)</w:t>
      </w:r>
      <w:r w:rsidR="00940FFF">
        <w:rPr>
          <w:rFonts w:ascii="Verdana" w:hAnsi="Verdana"/>
          <w:color w:val="000000" w:themeColor="text1"/>
          <w:sz w:val="22"/>
          <w:lang w:val="pt-BR"/>
        </w:rPr>
        <w:t>,</w:t>
      </w:r>
      <w:r>
        <w:rPr>
          <w:rFonts w:ascii="Verdana" w:hAnsi="Verdana"/>
          <w:color w:val="000000" w:themeColor="text1"/>
          <w:sz w:val="22"/>
          <w:lang w:val="pt-BR"/>
        </w:rPr>
        <w:t xml:space="preserve"> desinstalar (</w:t>
      </w:r>
      <w:proofErr w:type="spellStart"/>
      <w:r>
        <w:rPr>
          <w:rFonts w:ascii="Verdana" w:hAnsi="Verdana"/>
          <w:b/>
          <w:color w:val="000000" w:themeColor="text1"/>
          <w:sz w:val="22"/>
          <w:lang w:val="pt-BR"/>
        </w:rPr>
        <w:t>Unistall</w:t>
      </w:r>
      <w:proofErr w:type="spellEnd"/>
      <w:r>
        <w:rPr>
          <w:rFonts w:ascii="Verdana" w:hAnsi="Verdana"/>
          <w:b/>
          <w:color w:val="000000" w:themeColor="text1"/>
          <w:sz w:val="22"/>
          <w:lang w:val="pt-BR"/>
        </w:rPr>
        <w:t xml:space="preserve"> Game</w:t>
      </w:r>
      <w:r w:rsidR="00940FFF">
        <w:rPr>
          <w:rFonts w:ascii="Verdana" w:hAnsi="Verdana"/>
          <w:color w:val="000000" w:themeColor="text1"/>
          <w:sz w:val="22"/>
          <w:lang w:val="pt-BR"/>
        </w:rPr>
        <w:t>), e seja qualquer um dos três jogos, é necessária a inicialização (</w:t>
      </w:r>
      <w:proofErr w:type="spellStart"/>
      <w:r w:rsidR="00940FFF">
        <w:rPr>
          <w:rFonts w:ascii="Verdana" w:hAnsi="Verdana"/>
          <w:b/>
          <w:color w:val="000000" w:themeColor="text1"/>
          <w:sz w:val="22"/>
          <w:lang w:val="pt-BR"/>
        </w:rPr>
        <w:t>initialization</w:t>
      </w:r>
      <w:proofErr w:type="spellEnd"/>
      <w:r w:rsidR="00940FFF">
        <w:rPr>
          <w:rFonts w:ascii="Verdana" w:hAnsi="Verdana"/>
          <w:color w:val="000000" w:themeColor="text1"/>
          <w:sz w:val="22"/>
          <w:lang w:val="pt-BR"/>
        </w:rPr>
        <w:t>) e a animação de loop (</w:t>
      </w:r>
      <w:proofErr w:type="spellStart"/>
      <w:r w:rsidR="00940FFF">
        <w:rPr>
          <w:rFonts w:ascii="Verdana" w:hAnsi="Verdana"/>
          <w:b/>
          <w:color w:val="000000" w:themeColor="text1"/>
          <w:sz w:val="22"/>
          <w:lang w:val="pt-BR"/>
        </w:rPr>
        <w:t>Animation</w:t>
      </w:r>
      <w:proofErr w:type="spellEnd"/>
      <w:r w:rsidR="00940FFF">
        <w:rPr>
          <w:rFonts w:ascii="Verdana" w:hAnsi="Verdana"/>
          <w:b/>
          <w:color w:val="000000" w:themeColor="text1"/>
          <w:sz w:val="22"/>
          <w:lang w:val="pt-BR"/>
        </w:rPr>
        <w:t xml:space="preserve"> Loop</w:t>
      </w:r>
      <w:r w:rsidR="00940FFF">
        <w:rPr>
          <w:rFonts w:ascii="Verdana" w:hAnsi="Verdana"/>
          <w:color w:val="000000" w:themeColor="text1"/>
          <w:sz w:val="22"/>
          <w:lang w:val="pt-BR"/>
        </w:rPr>
        <w:t>).</w:t>
      </w:r>
      <w:bookmarkEnd w:id="0"/>
    </w:p>
    <w:sectPr w:rsidR="002136F0" w:rsidSect="00C83E4F">
      <w:footerReference w:type="default" r:id="rId12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1377B" w14:textId="77777777" w:rsidR="0006508E" w:rsidRDefault="0006508E" w:rsidP="005B52C0">
      <w:r>
        <w:separator/>
      </w:r>
    </w:p>
  </w:endnote>
  <w:endnote w:type="continuationSeparator" w:id="0">
    <w:p w14:paraId="49DFFC1D" w14:textId="77777777" w:rsidR="0006508E" w:rsidRDefault="0006508E" w:rsidP="005B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0BA20C52" w14:textId="77777777" w:rsidR="005F15C9" w:rsidRPr="005F15C9" w:rsidRDefault="00BB75C9">
        <w:pPr>
          <w:pStyle w:val="Rodap"/>
          <w:jc w:val="right"/>
          <w:rPr>
            <w:rFonts w:ascii="Verdana" w:hAnsi="Verdana"/>
            <w:lang w:val="pt-BR"/>
          </w:rPr>
        </w:pPr>
        <w:r w:rsidRPr="001F49D1">
          <w:rPr>
            <w:rFonts w:ascii="Verdana" w:hAnsi="Verdana"/>
            <w:i/>
            <w:sz w:val="14"/>
            <w:szCs w:val="14"/>
            <w:lang w:val="pt-BR"/>
          </w:rPr>
          <w:t xml:space="preserve">Eletronic </w:t>
        </w:r>
        <w:proofErr w:type="spellStart"/>
        <w:r w:rsidRPr="001F49D1">
          <w:rPr>
            <w:rFonts w:ascii="Verdana" w:hAnsi="Verdana"/>
            <w:i/>
            <w:sz w:val="14"/>
            <w:szCs w:val="14"/>
            <w:lang w:val="pt-BR"/>
          </w:rPr>
          <w:t>Commerce</w:t>
        </w:r>
        <w:proofErr w:type="spellEnd"/>
        <w:r w:rsidRPr="001F49D1">
          <w:rPr>
            <w:rFonts w:ascii="Verdana" w:hAnsi="Verdana"/>
            <w:i/>
            <w:sz w:val="14"/>
            <w:szCs w:val="14"/>
            <w:lang w:val="pt-BR"/>
          </w:rPr>
          <w:t>:</w:t>
        </w:r>
        <w:r w:rsidRPr="001F49D1">
          <w:rPr>
            <w:rFonts w:ascii="Verdana" w:hAnsi="Verdana"/>
            <w:sz w:val="14"/>
            <w:szCs w:val="14"/>
            <w:lang w:val="pt-BR"/>
          </w:rPr>
          <w:t xml:space="preserve"> </w:t>
        </w:r>
        <w:r w:rsidR="005B52C0">
          <w:rPr>
            <w:rFonts w:ascii="Verdana" w:hAnsi="Verdana"/>
            <w:sz w:val="14"/>
            <w:szCs w:val="14"/>
            <w:lang w:val="pt-BR"/>
          </w:rPr>
          <w:t>Abordagem X</w:t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Pr="005F15C9">
          <w:rPr>
            <w:rFonts w:ascii="Verdana" w:hAnsi="Verdana"/>
          </w:rPr>
          <w:fldChar w:fldCharType="begin"/>
        </w:r>
        <w:r w:rsidRPr="005F15C9">
          <w:rPr>
            <w:rFonts w:ascii="Verdana" w:hAnsi="Verdana"/>
            <w:lang w:val="pt-BR"/>
          </w:rPr>
          <w:instrText>PAGE   \* MERGEFORMAT</w:instrText>
        </w:r>
        <w:r w:rsidRPr="005F15C9">
          <w:rPr>
            <w:rFonts w:ascii="Verdana" w:hAnsi="Verdana"/>
          </w:rPr>
          <w:fldChar w:fldCharType="separate"/>
        </w:r>
        <w:r w:rsidR="00940FFF">
          <w:rPr>
            <w:rFonts w:ascii="Verdana" w:hAnsi="Verdana"/>
            <w:noProof/>
            <w:lang w:val="pt-BR"/>
          </w:rPr>
          <w:t>4</w:t>
        </w:r>
        <w:r w:rsidRPr="005F15C9">
          <w:rPr>
            <w:rFonts w:ascii="Verdana" w:hAnsi="Verdana"/>
          </w:rPr>
          <w:fldChar w:fldCharType="end"/>
        </w:r>
      </w:p>
    </w:sdtContent>
  </w:sdt>
  <w:p w14:paraId="62BF4B54" w14:textId="77777777" w:rsidR="005F15C9" w:rsidRPr="005F15C9" w:rsidRDefault="0006508E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7B35F" w14:textId="77777777" w:rsidR="0006508E" w:rsidRDefault="0006508E" w:rsidP="005B52C0">
      <w:r>
        <w:separator/>
      </w:r>
    </w:p>
  </w:footnote>
  <w:footnote w:type="continuationSeparator" w:id="0">
    <w:p w14:paraId="2699318D" w14:textId="77777777" w:rsidR="0006508E" w:rsidRDefault="0006508E" w:rsidP="005B5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C0"/>
    <w:rsid w:val="000006F7"/>
    <w:rsid w:val="00001A71"/>
    <w:rsid w:val="0000222C"/>
    <w:rsid w:val="0000257F"/>
    <w:rsid w:val="0000314D"/>
    <w:rsid w:val="00003934"/>
    <w:rsid w:val="000046A4"/>
    <w:rsid w:val="000053FF"/>
    <w:rsid w:val="00011D9B"/>
    <w:rsid w:val="000121D3"/>
    <w:rsid w:val="00012B1B"/>
    <w:rsid w:val="0001476F"/>
    <w:rsid w:val="00014892"/>
    <w:rsid w:val="000151C4"/>
    <w:rsid w:val="000175A6"/>
    <w:rsid w:val="0001772F"/>
    <w:rsid w:val="00017DF3"/>
    <w:rsid w:val="0002014F"/>
    <w:rsid w:val="0002282B"/>
    <w:rsid w:val="000234DE"/>
    <w:rsid w:val="00024D9A"/>
    <w:rsid w:val="00025637"/>
    <w:rsid w:val="00025C57"/>
    <w:rsid w:val="000276B2"/>
    <w:rsid w:val="00027EDA"/>
    <w:rsid w:val="00030241"/>
    <w:rsid w:val="00031138"/>
    <w:rsid w:val="00033856"/>
    <w:rsid w:val="00036291"/>
    <w:rsid w:val="00041FDA"/>
    <w:rsid w:val="00043D11"/>
    <w:rsid w:val="00047D1E"/>
    <w:rsid w:val="00047F14"/>
    <w:rsid w:val="000550E5"/>
    <w:rsid w:val="00056473"/>
    <w:rsid w:val="00056C10"/>
    <w:rsid w:val="00057AC3"/>
    <w:rsid w:val="0006089F"/>
    <w:rsid w:val="0006192F"/>
    <w:rsid w:val="000627B3"/>
    <w:rsid w:val="0006508E"/>
    <w:rsid w:val="0006553B"/>
    <w:rsid w:val="00065546"/>
    <w:rsid w:val="0006737B"/>
    <w:rsid w:val="00070EE0"/>
    <w:rsid w:val="00071420"/>
    <w:rsid w:val="00073B73"/>
    <w:rsid w:val="0007419B"/>
    <w:rsid w:val="00081B7C"/>
    <w:rsid w:val="000832B8"/>
    <w:rsid w:val="00084616"/>
    <w:rsid w:val="0008678E"/>
    <w:rsid w:val="000909ED"/>
    <w:rsid w:val="00092B43"/>
    <w:rsid w:val="000935CA"/>
    <w:rsid w:val="00093742"/>
    <w:rsid w:val="00094872"/>
    <w:rsid w:val="000A3BC2"/>
    <w:rsid w:val="000A4B08"/>
    <w:rsid w:val="000B1DB2"/>
    <w:rsid w:val="000B2959"/>
    <w:rsid w:val="000C32F5"/>
    <w:rsid w:val="000C41E3"/>
    <w:rsid w:val="000C5AE2"/>
    <w:rsid w:val="000D2126"/>
    <w:rsid w:val="000D2D95"/>
    <w:rsid w:val="000D2E3E"/>
    <w:rsid w:val="000D2FB4"/>
    <w:rsid w:val="000D4BD3"/>
    <w:rsid w:val="000D66F9"/>
    <w:rsid w:val="000E011D"/>
    <w:rsid w:val="000E0562"/>
    <w:rsid w:val="000E2902"/>
    <w:rsid w:val="000E432C"/>
    <w:rsid w:val="000E6D27"/>
    <w:rsid w:val="000F04E3"/>
    <w:rsid w:val="000F051E"/>
    <w:rsid w:val="000F14FC"/>
    <w:rsid w:val="000F28DB"/>
    <w:rsid w:val="000F53F2"/>
    <w:rsid w:val="000F70F9"/>
    <w:rsid w:val="00101074"/>
    <w:rsid w:val="00103956"/>
    <w:rsid w:val="00103EC1"/>
    <w:rsid w:val="00105A00"/>
    <w:rsid w:val="0011652E"/>
    <w:rsid w:val="001168D4"/>
    <w:rsid w:val="00117E18"/>
    <w:rsid w:val="00120233"/>
    <w:rsid w:val="00121102"/>
    <w:rsid w:val="00122F63"/>
    <w:rsid w:val="00123033"/>
    <w:rsid w:val="00123312"/>
    <w:rsid w:val="00124232"/>
    <w:rsid w:val="00124302"/>
    <w:rsid w:val="0012523D"/>
    <w:rsid w:val="00127B8B"/>
    <w:rsid w:val="0013428B"/>
    <w:rsid w:val="00134F2D"/>
    <w:rsid w:val="001355F4"/>
    <w:rsid w:val="00136B85"/>
    <w:rsid w:val="001412B8"/>
    <w:rsid w:val="001504EB"/>
    <w:rsid w:val="00154431"/>
    <w:rsid w:val="001559F3"/>
    <w:rsid w:val="00156339"/>
    <w:rsid w:val="00156B5B"/>
    <w:rsid w:val="00157090"/>
    <w:rsid w:val="00161B00"/>
    <w:rsid w:val="00163C45"/>
    <w:rsid w:val="001644D7"/>
    <w:rsid w:val="00165EB1"/>
    <w:rsid w:val="00165FFA"/>
    <w:rsid w:val="0016661B"/>
    <w:rsid w:val="0016765E"/>
    <w:rsid w:val="001706E8"/>
    <w:rsid w:val="00170B64"/>
    <w:rsid w:val="00173E16"/>
    <w:rsid w:val="00175324"/>
    <w:rsid w:val="00177004"/>
    <w:rsid w:val="001773F7"/>
    <w:rsid w:val="00177ADC"/>
    <w:rsid w:val="00181EB2"/>
    <w:rsid w:val="00182E73"/>
    <w:rsid w:val="001830EB"/>
    <w:rsid w:val="00183B0C"/>
    <w:rsid w:val="00183D47"/>
    <w:rsid w:val="00194286"/>
    <w:rsid w:val="001944BA"/>
    <w:rsid w:val="0019638D"/>
    <w:rsid w:val="00196C9C"/>
    <w:rsid w:val="001973D9"/>
    <w:rsid w:val="001974AF"/>
    <w:rsid w:val="001A05E8"/>
    <w:rsid w:val="001A3642"/>
    <w:rsid w:val="001A3B41"/>
    <w:rsid w:val="001A6E4D"/>
    <w:rsid w:val="001A75AE"/>
    <w:rsid w:val="001B0B5F"/>
    <w:rsid w:val="001B0DCF"/>
    <w:rsid w:val="001B122F"/>
    <w:rsid w:val="001B2331"/>
    <w:rsid w:val="001B2696"/>
    <w:rsid w:val="001B31CE"/>
    <w:rsid w:val="001B4070"/>
    <w:rsid w:val="001C0808"/>
    <w:rsid w:val="001C162A"/>
    <w:rsid w:val="001C1691"/>
    <w:rsid w:val="001C2608"/>
    <w:rsid w:val="001C4208"/>
    <w:rsid w:val="001C4210"/>
    <w:rsid w:val="001C616C"/>
    <w:rsid w:val="001C64B8"/>
    <w:rsid w:val="001D0223"/>
    <w:rsid w:val="001D0734"/>
    <w:rsid w:val="001D0D48"/>
    <w:rsid w:val="001D27CC"/>
    <w:rsid w:val="001D4887"/>
    <w:rsid w:val="001D6F82"/>
    <w:rsid w:val="001E03B0"/>
    <w:rsid w:val="001E093E"/>
    <w:rsid w:val="001E0CF0"/>
    <w:rsid w:val="001E1C47"/>
    <w:rsid w:val="001E37DE"/>
    <w:rsid w:val="001E4582"/>
    <w:rsid w:val="001F34A9"/>
    <w:rsid w:val="001F5638"/>
    <w:rsid w:val="002018B9"/>
    <w:rsid w:val="00201BA5"/>
    <w:rsid w:val="002037AB"/>
    <w:rsid w:val="0020479F"/>
    <w:rsid w:val="00204B1B"/>
    <w:rsid w:val="00204B32"/>
    <w:rsid w:val="0020534C"/>
    <w:rsid w:val="002065FC"/>
    <w:rsid w:val="00206898"/>
    <w:rsid w:val="0021318B"/>
    <w:rsid w:val="002136F0"/>
    <w:rsid w:val="002143AC"/>
    <w:rsid w:val="0021501F"/>
    <w:rsid w:val="002158D3"/>
    <w:rsid w:val="002167CD"/>
    <w:rsid w:val="0021775A"/>
    <w:rsid w:val="00217FA3"/>
    <w:rsid w:val="00220560"/>
    <w:rsid w:val="00226410"/>
    <w:rsid w:val="00231A35"/>
    <w:rsid w:val="00231D9D"/>
    <w:rsid w:val="0023264F"/>
    <w:rsid w:val="00233710"/>
    <w:rsid w:val="002337D9"/>
    <w:rsid w:val="002347D2"/>
    <w:rsid w:val="00234C72"/>
    <w:rsid w:val="00240E8E"/>
    <w:rsid w:val="00242681"/>
    <w:rsid w:val="00243768"/>
    <w:rsid w:val="00245F66"/>
    <w:rsid w:val="0024636E"/>
    <w:rsid w:val="00246479"/>
    <w:rsid w:val="00246ABC"/>
    <w:rsid w:val="00247315"/>
    <w:rsid w:val="00247616"/>
    <w:rsid w:val="002507F8"/>
    <w:rsid w:val="00255F6A"/>
    <w:rsid w:val="0025617E"/>
    <w:rsid w:val="002568E3"/>
    <w:rsid w:val="00256D37"/>
    <w:rsid w:val="0025726B"/>
    <w:rsid w:val="00260547"/>
    <w:rsid w:val="00262D30"/>
    <w:rsid w:val="00263591"/>
    <w:rsid w:val="002642FA"/>
    <w:rsid w:val="0026475E"/>
    <w:rsid w:val="00264CD8"/>
    <w:rsid w:val="002701EE"/>
    <w:rsid w:val="00273016"/>
    <w:rsid w:val="00274E77"/>
    <w:rsid w:val="00275A25"/>
    <w:rsid w:val="0027799E"/>
    <w:rsid w:val="002838B0"/>
    <w:rsid w:val="002876F7"/>
    <w:rsid w:val="0029077F"/>
    <w:rsid w:val="0029287C"/>
    <w:rsid w:val="00292B25"/>
    <w:rsid w:val="00292E67"/>
    <w:rsid w:val="002931C7"/>
    <w:rsid w:val="002938D6"/>
    <w:rsid w:val="0029453D"/>
    <w:rsid w:val="002949E5"/>
    <w:rsid w:val="00295722"/>
    <w:rsid w:val="00295B05"/>
    <w:rsid w:val="002A04FA"/>
    <w:rsid w:val="002A1185"/>
    <w:rsid w:val="002A1E44"/>
    <w:rsid w:val="002A43A2"/>
    <w:rsid w:val="002A47AC"/>
    <w:rsid w:val="002A5279"/>
    <w:rsid w:val="002A70B1"/>
    <w:rsid w:val="002B22AC"/>
    <w:rsid w:val="002B57CA"/>
    <w:rsid w:val="002C5281"/>
    <w:rsid w:val="002C6BE6"/>
    <w:rsid w:val="002C70CB"/>
    <w:rsid w:val="002D1A31"/>
    <w:rsid w:val="002D1E79"/>
    <w:rsid w:val="002D3FD6"/>
    <w:rsid w:val="002D587D"/>
    <w:rsid w:val="002D6A54"/>
    <w:rsid w:val="002D70A1"/>
    <w:rsid w:val="002E01FC"/>
    <w:rsid w:val="002E1B11"/>
    <w:rsid w:val="002E365F"/>
    <w:rsid w:val="002E5B88"/>
    <w:rsid w:val="002E662B"/>
    <w:rsid w:val="002F01C8"/>
    <w:rsid w:val="002F1B67"/>
    <w:rsid w:val="002F368A"/>
    <w:rsid w:val="002F7916"/>
    <w:rsid w:val="00301067"/>
    <w:rsid w:val="00301BB4"/>
    <w:rsid w:val="00303ADE"/>
    <w:rsid w:val="00305430"/>
    <w:rsid w:val="00311E9F"/>
    <w:rsid w:val="00316ED0"/>
    <w:rsid w:val="0031794E"/>
    <w:rsid w:val="00320502"/>
    <w:rsid w:val="003241D4"/>
    <w:rsid w:val="003250F8"/>
    <w:rsid w:val="00326103"/>
    <w:rsid w:val="00326F95"/>
    <w:rsid w:val="00330F1F"/>
    <w:rsid w:val="0033253B"/>
    <w:rsid w:val="00333831"/>
    <w:rsid w:val="00333A8E"/>
    <w:rsid w:val="00333EEE"/>
    <w:rsid w:val="0033488E"/>
    <w:rsid w:val="00335F6E"/>
    <w:rsid w:val="00337CEF"/>
    <w:rsid w:val="00343F20"/>
    <w:rsid w:val="0034438D"/>
    <w:rsid w:val="00351A53"/>
    <w:rsid w:val="00354919"/>
    <w:rsid w:val="00356587"/>
    <w:rsid w:val="003572B8"/>
    <w:rsid w:val="003638A1"/>
    <w:rsid w:val="00365328"/>
    <w:rsid w:val="00367A8C"/>
    <w:rsid w:val="0037102A"/>
    <w:rsid w:val="00371BDC"/>
    <w:rsid w:val="003741E7"/>
    <w:rsid w:val="00375C1B"/>
    <w:rsid w:val="0037713B"/>
    <w:rsid w:val="00381A31"/>
    <w:rsid w:val="00383409"/>
    <w:rsid w:val="0038463E"/>
    <w:rsid w:val="00384EEF"/>
    <w:rsid w:val="0038650B"/>
    <w:rsid w:val="003869F6"/>
    <w:rsid w:val="00386B49"/>
    <w:rsid w:val="00387303"/>
    <w:rsid w:val="00387A1C"/>
    <w:rsid w:val="0039028D"/>
    <w:rsid w:val="003916A5"/>
    <w:rsid w:val="00391F84"/>
    <w:rsid w:val="003926DC"/>
    <w:rsid w:val="003954DA"/>
    <w:rsid w:val="00397738"/>
    <w:rsid w:val="003A0B04"/>
    <w:rsid w:val="003A3FF4"/>
    <w:rsid w:val="003A518E"/>
    <w:rsid w:val="003A5C7D"/>
    <w:rsid w:val="003A7594"/>
    <w:rsid w:val="003A7867"/>
    <w:rsid w:val="003B3C26"/>
    <w:rsid w:val="003B5869"/>
    <w:rsid w:val="003B5D35"/>
    <w:rsid w:val="003B62F1"/>
    <w:rsid w:val="003C0D52"/>
    <w:rsid w:val="003C10E7"/>
    <w:rsid w:val="003D0F46"/>
    <w:rsid w:val="003D1090"/>
    <w:rsid w:val="003D28C1"/>
    <w:rsid w:val="003D3CD7"/>
    <w:rsid w:val="003D3DC1"/>
    <w:rsid w:val="003D6C14"/>
    <w:rsid w:val="003E1680"/>
    <w:rsid w:val="003E31F6"/>
    <w:rsid w:val="003E34C9"/>
    <w:rsid w:val="003E4F49"/>
    <w:rsid w:val="003E52F7"/>
    <w:rsid w:val="003E5385"/>
    <w:rsid w:val="003E623B"/>
    <w:rsid w:val="003F1960"/>
    <w:rsid w:val="003F2F55"/>
    <w:rsid w:val="003F34FE"/>
    <w:rsid w:val="003F4BBB"/>
    <w:rsid w:val="004003F1"/>
    <w:rsid w:val="00400B8A"/>
    <w:rsid w:val="00400E7D"/>
    <w:rsid w:val="00401AAB"/>
    <w:rsid w:val="00403497"/>
    <w:rsid w:val="0040394E"/>
    <w:rsid w:val="00405C13"/>
    <w:rsid w:val="00406085"/>
    <w:rsid w:val="00407F22"/>
    <w:rsid w:val="0041118A"/>
    <w:rsid w:val="00411DDC"/>
    <w:rsid w:val="00412F64"/>
    <w:rsid w:val="00417FA3"/>
    <w:rsid w:val="0042180D"/>
    <w:rsid w:val="0042272B"/>
    <w:rsid w:val="004236E5"/>
    <w:rsid w:val="00425F64"/>
    <w:rsid w:val="00426616"/>
    <w:rsid w:val="00432B5D"/>
    <w:rsid w:val="00432F4F"/>
    <w:rsid w:val="0043673A"/>
    <w:rsid w:val="00437B42"/>
    <w:rsid w:val="0044240F"/>
    <w:rsid w:val="0044266E"/>
    <w:rsid w:val="00443FA7"/>
    <w:rsid w:val="004444CF"/>
    <w:rsid w:val="00445DF2"/>
    <w:rsid w:val="00446E96"/>
    <w:rsid w:val="00450B9C"/>
    <w:rsid w:val="004523A2"/>
    <w:rsid w:val="00452F3E"/>
    <w:rsid w:val="00453B71"/>
    <w:rsid w:val="00454298"/>
    <w:rsid w:val="004544CE"/>
    <w:rsid w:val="0046406D"/>
    <w:rsid w:val="00471DF1"/>
    <w:rsid w:val="0047468E"/>
    <w:rsid w:val="004771E1"/>
    <w:rsid w:val="00477CDA"/>
    <w:rsid w:val="00480B22"/>
    <w:rsid w:val="00482FA5"/>
    <w:rsid w:val="004842A0"/>
    <w:rsid w:val="00484F8C"/>
    <w:rsid w:val="00487292"/>
    <w:rsid w:val="00491777"/>
    <w:rsid w:val="00494E55"/>
    <w:rsid w:val="00494E9A"/>
    <w:rsid w:val="004A1103"/>
    <w:rsid w:val="004A15F5"/>
    <w:rsid w:val="004A2916"/>
    <w:rsid w:val="004A29CE"/>
    <w:rsid w:val="004A443D"/>
    <w:rsid w:val="004A5121"/>
    <w:rsid w:val="004A572E"/>
    <w:rsid w:val="004A59CB"/>
    <w:rsid w:val="004A6616"/>
    <w:rsid w:val="004A6769"/>
    <w:rsid w:val="004A6CF7"/>
    <w:rsid w:val="004A708E"/>
    <w:rsid w:val="004A76F6"/>
    <w:rsid w:val="004B0BA8"/>
    <w:rsid w:val="004B184B"/>
    <w:rsid w:val="004B2E95"/>
    <w:rsid w:val="004B3AF2"/>
    <w:rsid w:val="004B60A6"/>
    <w:rsid w:val="004B6243"/>
    <w:rsid w:val="004C08E8"/>
    <w:rsid w:val="004C17E7"/>
    <w:rsid w:val="004C5986"/>
    <w:rsid w:val="004C6D00"/>
    <w:rsid w:val="004C6D68"/>
    <w:rsid w:val="004C7D1A"/>
    <w:rsid w:val="004D14FD"/>
    <w:rsid w:val="004D3353"/>
    <w:rsid w:val="004D4133"/>
    <w:rsid w:val="004D45D8"/>
    <w:rsid w:val="004D5E59"/>
    <w:rsid w:val="004D71C4"/>
    <w:rsid w:val="004E03BF"/>
    <w:rsid w:val="004E1B85"/>
    <w:rsid w:val="004E2980"/>
    <w:rsid w:val="004E3BD6"/>
    <w:rsid w:val="004E481D"/>
    <w:rsid w:val="004E5E5F"/>
    <w:rsid w:val="004E5F65"/>
    <w:rsid w:val="004E66ED"/>
    <w:rsid w:val="004E77A8"/>
    <w:rsid w:val="004F027B"/>
    <w:rsid w:val="004F06D7"/>
    <w:rsid w:val="004F0991"/>
    <w:rsid w:val="004F1B35"/>
    <w:rsid w:val="004F2A2E"/>
    <w:rsid w:val="004F3741"/>
    <w:rsid w:val="004F5577"/>
    <w:rsid w:val="004F6A0B"/>
    <w:rsid w:val="00500FC2"/>
    <w:rsid w:val="00501EE4"/>
    <w:rsid w:val="00502CF1"/>
    <w:rsid w:val="005039B6"/>
    <w:rsid w:val="00507A71"/>
    <w:rsid w:val="00510749"/>
    <w:rsid w:val="005118C8"/>
    <w:rsid w:val="00512F20"/>
    <w:rsid w:val="00514092"/>
    <w:rsid w:val="005140D0"/>
    <w:rsid w:val="00514976"/>
    <w:rsid w:val="00516D09"/>
    <w:rsid w:val="005176B8"/>
    <w:rsid w:val="00517B7A"/>
    <w:rsid w:val="00517CCD"/>
    <w:rsid w:val="00522F28"/>
    <w:rsid w:val="00524513"/>
    <w:rsid w:val="0052465E"/>
    <w:rsid w:val="00526A54"/>
    <w:rsid w:val="00531786"/>
    <w:rsid w:val="0053292C"/>
    <w:rsid w:val="005342B2"/>
    <w:rsid w:val="00535F6B"/>
    <w:rsid w:val="00536572"/>
    <w:rsid w:val="005375BD"/>
    <w:rsid w:val="00540E7D"/>
    <w:rsid w:val="00541ED1"/>
    <w:rsid w:val="00543E31"/>
    <w:rsid w:val="00545881"/>
    <w:rsid w:val="0054608D"/>
    <w:rsid w:val="00550A2F"/>
    <w:rsid w:val="00552832"/>
    <w:rsid w:val="00555470"/>
    <w:rsid w:val="00555F29"/>
    <w:rsid w:val="00555FE0"/>
    <w:rsid w:val="0055663C"/>
    <w:rsid w:val="0055694E"/>
    <w:rsid w:val="005610EA"/>
    <w:rsid w:val="005627DA"/>
    <w:rsid w:val="00563658"/>
    <w:rsid w:val="00571322"/>
    <w:rsid w:val="00571E61"/>
    <w:rsid w:val="00571E9A"/>
    <w:rsid w:val="00572F2B"/>
    <w:rsid w:val="00573CFC"/>
    <w:rsid w:val="005819DF"/>
    <w:rsid w:val="00582EEC"/>
    <w:rsid w:val="005847CB"/>
    <w:rsid w:val="00586280"/>
    <w:rsid w:val="005865D1"/>
    <w:rsid w:val="005928BD"/>
    <w:rsid w:val="0059477C"/>
    <w:rsid w:val="0059498E"/>
    <w:rsid w:val="00594FBA"/>
    <w:rsid w:val="00597FB0"/>
    <w:rsid w:val="005A0E41"/>
    <w:rsid w:val="005A477A"/>
    <w:rsid w:val="005A5635"/>
    <w:rsid w:val="005B04CD"/>
    <w:rsid w:val="005B0B8C"/>
    <w:rsid w:val="005B4714"/>
    <w:rsid w:val="005B4A2B"/>
    <w:rsid w:val="005B52C0"/>
    <w:rsid w:val="005C0C84"/>
    <w:rsid w:val="005C21A9"/>
    <w:rsid w:val="005C3243"/>
    <w:rsid w:val="005C7A99"/>
    <w:rsid w:val="005D478A"/>
    <w:rsid w:val="005D54AC"/>
    <w:rsid w:val="005D7AAF"/>
    <w:rsid w:val="005E0CA8"/>
    <w:rsid w:val="005E3A8A"/>
    <w:rsid w:val="005E4902"/>
    <w:rsid w:val="005E5A7D"/>
    <w:rsid w:val="005E7BFA"/>
    <w:rsid w:val="005F145B"/>
    <w:rsid w:val="005F1DAB"/>
    <w:rsid w:val="005F252D"/>
    <w:rsid w:val="005F7147"/>
    <w:rsid w:val="0060138B"/>
    <w:rsid w:val="00605F06"/>
    <w:rsid w:val="00610591"/>
    <w:rsid w:val="00610B78"/>
    <w:rsid w:val="00613F1E"/>
    <w:rsid w:val="0062567C"/>
    <w:rsid w:val="00626EE1"/>
    <w:rsid w:val="00630BCF"/>
    <w:rsid w:val="0063192E"/>
    <w:rsid w:val="00632129"/>
    <w:rsid w:val="00632AE0"/>
    <w:rsid w:val="00633DD8"/>
    <w:rsid w:val="006356BF"/>
    <w:rsid w:val="00636829"/>
    <w:rsid w:val="006420EF"/>
    <w:rsid w:val="00642B1C"/>
    <w:rsid w:val="00643FBC"/>
    <w:rsid w:val="006505D6"/>
    <w:rsid w:val="00654285"/>
    <w:rsid w:val="006549B7"/>
    <w:rsid w:val="00654ECF"/>
    <w:rsid w:val="006565B3"/>
    <w:rsid w:val="006568BB"/>
    <w:rsid w:val="00657CB3"/>
    <w:rsid w:val="00661006"/>
    <w:rsid w:val="0066104B"/>
    <w:rsid w:val="00662324"/>
    <w:rsid w:val="00663E87"/>
    <w:rsid w:val="006649DF"/>
    <w:rsid w:val="00666346"/>
    <w:rsid w:val="006700CA"/>
    <w:rsid w:val="006728E6"/>
    <w:rsid w:val="006729AC"/>
    <w:rsid w:val="00673944"/>
    <w:rsid w:val="00675E9C"/>
    <w:rsid w:val="00676CB0"/>
    <w:rsid w:val="00677E9B"/>
    <w:rsid w:val="00680726"/>
    <w:rsid w:val="0068119D"/>
    <w:rsid w:val="00681976"/>
    <w:rsid w:val="006827D4"/>
    <w:rsid w:val="00683170"/>
    <w:rsid w:val="006832A7"/>
    <w:rsid w:val="00684BB2"/>
    <w:rsid w:val="00685785"/>
    <w:rsid w:val="006878BD"/>
    <w:rsid w:val="0069055B"/>
    <w:rsid w:val="00690E3F"/>
    <w:rsid w:val="006916C8"/>
    <w:rsid w:val="00693C09"/>
    <w:rsid w:val="0069412E"/>
    <w:rsid w:val="00695E59"/>
    <w:rsid w:val="00695F01"/>
    <w:rsid w:val="00696F97"/>
    <w:rsid w:val="006975B6"/>
    <w:rsid w:val="006A0663"/>
    <w:rsid w:val="006A182B"/>
    <w:rsid w:val="006A191C"/>
    <w:rsid w:val="006A3DB5"/>
    <w:rsid w:val="006A454B"/>
    <w:rsid w:val="006A4F6C"/>
    <w:rsid w:val="006A7F09"/>
    <w:rsid w:val="006B0477"/>
    <w:rsid w:val="006B2773"/>
    <w:rsid w:val="006B366F"/>
    <w:rsid w:val="006B414A"/>
    <w:rsid w:val="006B5FED"/>
    <w:rsid w:val="006C6DDB"/>
    <w:rsid w:val="006C7C9E"/>
    <w:rsid w:val="006C7FF3"/>
    <w:rsid w:val="006D2EFC"/>
    <w:rsid w:val="006D39C4"/>
    <w:rsid w:val="006D5877"/>
    <w:rsid w:val="006E22EF"/>
    <w:rsid w:val="006E470C"/>
    <w:rsid w:val="006E6ECA"/>
    <w:rsid w:val="006F1242"/>
    <w:rsid w:val="006F15FF"/>
    <w:rsid w:val="006F5708"/>
    <w:rsid w:val="006F730D"/>
    <w:rsid w:val="00701A6E"/>
    <w:rsid w:val="00705927"/>
    <w:rsid w:val="00707F9D"/>
    <w:rsid w:val="00710924"/>
    <w:rsid w:val="007141FF"/>
    <w:rsid w:val="0071458D"/>
    <w:rsid w:val="0071463B"/>
    <w:rsid w:val="0071543B"/>
    <w:rsid w:val="00716517"/>
    <w:rsid w:val="0072020C"/>
    <w:rsid w:val="0072168C"/>
    <w:rsid w:val="00722FC8"/>
    <w:rsid w:val="00724801"/>
    <w:rsid w:val="00726CE2"/>
    <w:rsid w:val="00732955"/>
    <w:rsid w:val="00735395"/>
    <w:rsid w:val="00735940"/>
    <w:rsid w:val="007360B1"/>
    <w:rsid w:val="0074013E"/>
    <w:rsid w:val="007416AB"/>
    <w:rsid w:val="00743646"/>
    <w:rsid w:val="00744A34"/>
    <w:rsid w:val="00744BAE"/>
    <w:rsid w:val="007457E5"/>
    <w:rsid w:val="0074694E"/>
    <w:rsid w:val="00746DDF"/>
    <w:rsid w:val="0074744A"/>
    <w:rsid w:val="00747CCE"/>
    <w:rsid w:val="00747D13"/>
    <w:rsid w:val="0075192D"/>
    <w:rsid w:val="0075257A"/>
    <w:rsid w:val="00752CFA"/>
    <w:rsid w:val="00754D02"/>
    <w:rsid w:val="00757B5F"/>
    <w:rsid w:val="0076283D"/>
    <w:rsid w:val="007631DF"/>
    <w:rsid w:val="00764F6B"/>
    <w:rsid w:val="00765B72"/>
    <w:rsid w:val="00770187"/>
    <w:rsid w:val="00771378"/>
    <w:rsid w:val="00771C06"/>
    <w:rsid w:val="007721C0"/>
    <w:rsid w:val="007751FC"/>
    <w:rsid w:val="00775D05"/>
    <w:rsid w:val="007767B9"/>
    <w:rsid w:val="007775CD"/>
    <w:rsid w:val="007810CF"/>
    <w:rsid w:val="00781B3F"/>
    <w:rsid w:val="007837E9"/>
    <w:rsid w:val="007849D9"/>
    <w:rsid w:val="00787C4B"/>
    <w:rsid w:val="00787DE9"/>
    <w:rsid w:val="00787FD6"/>
    <w:rsid w:val="007906AF"/>
    <w:rsid w:val="00792B0D"/>
    <w:rsid w:val="00792C81"/>
    <w:rsid w:val="0079562D"/>
    <w:rsid w:val="007A0CC4"/>
    <w:rsid w:val="007A4038"/>
    <w:rsid w:val="007A4546"/>
    <w:rsid w:val="007A5065"/>
    <w:rsid w:val="007A5971"/>
    <w:rsid w:val="007A6091"/>
    <w:rsid w:val="007A7DC3"/>
    <w:rsid w:val="007B1730"/>
    <w:rsid w:val="007B3917"/>
    <w:rsid w:val="007B466E"/>
    <w:rsid w:val="007B5614"/>
    <w:rsid w:val="007B594A"/>
    <w:rsid w:val="007C1B4A"/>
    <w:rsid w:val="007C1DA2"/>
    <w:rsid w:val="007C1FD9"/>
    <w:rsid w:val="007C284F"/>
    <w:rsid w:val="007C37FF"/>
    <w:rsid w:val="007C6A79"/>
    <w:rsid w:val="007D0186"/>
    <w:rsid w:val="007D1689"/>
    <w:rsid w:val="007D2949"/>
    <w:rsid w:val="007D2D2C"/>
    <w:rsid w:val="007D32CE"/>
    <w:rsid w:val="007D3C56"/>
    <w:rsid w:val="007D6775"/>
    <w:rsid w:val="007D7FCF"/>
    <w:rsid w:val="007E055C"/>
    <w:rsid w:val="007E0B3F"/>
    <w:rsid w:val="007E0D46"/>
    <w:rsid w:val="007E16EF"/>
    <w:rsid w:val="007E2026"/>
    <w:rsid w:val="007E2A3E"/>
    <w:rsid w:val="007E3A29"/>
    <w:rsid w:val="007E6879"/>
    <w:rsid w:val="007E6A31"/>
    <w:rsid w:val="007F04A6"/>
    <w:rsid w:val="007F0BBF"/>
    <w:rsid w:val="007F10AE"/>
    <w:rsid w:val="007F3721"/>
    <w:rsid w:val="007F619D"/>
    <w:rsid w:val="007F7A61"/>
    <w:rsid w:val="00801EDE"/>
    <w:rsid w:val="0080292F"/>
    <w:rsid w:val="00803715"/>
    <w:rsid w:val="00804114"/>
    <w:rsid w:val="008051B0"/>
    <w:rsid w:val="00805890"/>
    <w:rsid w:val="00805AF2"/>
    <w:rsid w:val="00806AC2"/>
    <w:rsid w:val="00810A55"/>
    <w:rsid w:val="00811687"/>
    <w:rsid w:val="008119C2"/>
    <w:rsid w:val="00813031"/>
    <w:rsid w:val="008131D5"/>
    <w:rsid w:val="00815AC6"/>
    <w:rsid w:val="00821FE4"/>
    <w:rsid w:val="00823473"/>
    <w:rsid w:val="00825CBA"/>
    <w:rsid w:val="008262BA"/>
    <w:rsid w:val="00827309"/>
    <w:rsid w:val="0082734F"/>
    <w:rsid w:val="00827B3C"/>
    <w:rsid w:val="00827D22"/>
    <w:rsid w:val="00832EFB"/>
    <w:rsid w:val="0083387E"/>
    <w:rsid w:val="00833E1C"/>
    <w:rsid w:val="008345EB"/>
    <w:rsid w:val="00834A22"/>
    <w:rsid w:val="00834A26"/>
    <w:rsid w:val="00841923"/>
    <w:rsid w:val="008462C1"/>
    <w:rsid w:val="008462C5"/>
    <w:rsid w:val="00847781"/>
    <w:rsid w:val="00847F09"/>
    <w:rsid w:val="00847FEB"/>
    <w:rsid w:val="0085006B"/>
    <w:rsid w:val="00850254"/>
    <w:rsid w:val="00850399"/>
    <w:rsid w:val="008535CF"/>
    <w:rsid w:val="00855BB5"/>
    <w:rsid w:val="0085743A"/>
    <w:rsid w:val="0085784F"/>
    <w:rsid w:val="008607B7"/>
    <w:rsid w:val="008633F2"/>
    <w:rsid w:val="00863D0D"/>
    <w:rsid w:val="008645A7"/>
    <w:rsid w:val="008658B7"/>
    <w:rsid w:val="00865B2B"/>
    <w:rsid w:val="00866307"/>
    <w:rsid w:val="008717BA"/>
    <w:rsid w:val="00872038"/>
    <w:rsid w:val="0087290E"/>
    <w:rsid w:val="00872D97"/>
    <w:rsid w:val="00874ECC"/>
    <w:rsid w:val="00876218"/>
    <w:rsid w:val="00877811"/>
    <w:rsid w:val="0088130A"/>
    <w:rsid w:val="0088179A"/>
    <w:rsid w:val="0088201C"/>
    <w:rsid w:val="008821AA"/>
    <w:rsid w:val="008837E7"/>
    <w:rsid w:val="00884DFD"/>
    <w:rsid w:val="008863EC"/>
    <w:rsid w:val="0088791A"/>
    <w:rsid w:val="00887B36"/>
    <w:rsid w:val="00893F06"/>
    <w:rsid w:val="0089476D"/>
    <w:rsid w:val="0089536D"/>
    <w:rsid w:val="0089621B"/>
    <w:rsid w:val="0089644A"/>
    <w:rsid w:val="00896E7B"/>
    <w:rsid w:val="0089795D"/>
    <w:rsid w:val="00897FD7"/>
    <w:rsid w:val="008A151D"/>
    <w:rsid w:val="008A1DD4"/>
    <w:rsid w:val="008A448F"/>
    <w:rsid w:val="008A5EF8"/>
    <w:rsid w:val="008A7705"/>
    <w:rsid w:val="008A7ECC"/>
    <w:rsid w:val="008B0EC2"/>
    <w:rsid w:val="008B10AD"/>
    <w:rsid w:val="008B4E3F"/>
    <w:rsid w:val="008B66B9"/>
    <w:rsid w:val="008C176C"/>
    <w:rsid w:val="008C34C4"/>
    <w:rsid w:val="008C34F5"/>
    <w:rsid w:val="008D116B"/>
    <w:rsid w:val="008D1317"/>
    <w:rsid w:val="008D2366"/>
    <w:rsid w:val="008D2B2F"/>
    <w:rsid w:val="008D3797"/>
    <w:rsid w:val="008D76C4"/>
    <w:rsid w:val="008E22CE"/>
    <w:rsid w:val="008E2BD6"/>
    <w:rsid w:val="008E4460"/>
    <w:rsid w:val="008F0A82"/>
    <w:rsid w:val="008F0F2C"/>
    <w:rsid w:val="008F3FF5"/>
    <w:rsid w:val="008F6D4A"/>
    <w:rsid w:val="008F6DD5"/>
    <w:rsid w:val="00903EFF"/>
    <w:rsid w:val="00905C26"/>
    <w:rsid w:val="009062BF"/>
    <w:rsid w:val="009108EA"/>
    <w:rsid w:val="00911B22"/>
    <w:rsid w:val="009135CD"/>
    <w:rsid w:val="009202C5"/>
    <w:rsid w:val="0092157E"/>
    <w:rsid w:val="0092684F"/>
    <w:rsid w:val="00937315"/>
    <w:rsid w:val="00940FFF"/>
    <w:rsid w:val="00942541"/>
    <w:rsid w:val="00942895"/>
    <w:rsid w:val="00944895"/>
    <w:rsid w:val="00945D10"/>
    <w:rsid w:val="00945D72"/>
    <w:rsid w:val="009469ED"/>
    <w:rsid w:val="00947AF4"/>
    <w:rsid w:val="00951FAE"/>
    <w:rsid w:val="00954E24"/>
    <w:rsid w:val="009573DE"/>
    <w:rsid w:val="00961027"/>
    <w:rsid w:val="0096148A"/>
    <w:rsid w:val="00961B0F"/>
    <w:rsid w:val="00961DCD"/>
    <w:rsid w:val="00962BBE"/>
    <w:rsid w:val="00963753"/>
    <w:rsid w:val="00966FF4"/>
    <w:rsid w:val="00970F30"/>
    <w:rsid w:val="00974607"/>
    <w:rsid w:val="009751A2"/>
    <w:rsid w:val="00976980"/>
    <w:rsid w:val="009775D3"/>
    <w:rsid w:val="0098527F"/>
    <w:rsid w:val="00986758"/>
    <w:rsid w:val="00986851"/>
    <w:rsid w:val="009872AC"/>
    <w:rsid w:val="009928AF"/>
    <w:rsid w:val="00994F78"/>
    <w:rsid w:val="00995CA0"/>
    <w:rsid w:val="00995F83"/>
    <w:rsid w:val="009A1DB3"/>
    <w:rsid w:val="009A6762"/>
    <w:rsid w:val="009A79A7"/>
    <w:rsid w:val="009B4733"/>
    <w:rsid w:val="009B509A"/>
    <w:rsid w:val="009B6AC6"/>
    <w:rsid w:val="009B73BA"/>
    <w:rsid w:val="009C2067"/>
    <w:rsid w:val="009C2BF8"/>
    <w:rsid w:val="009C3047"/>
    <w:rsid w:val="009C46C0"/>
    <w:rsid w:val="009C5A76"/>
    <w:rsid w:val="009D039A"/>
    <w:rsid w:val="009D2019"/>
    <w:rsid w:val="009D21A5"/>
    <w:rsid w:val="009D7335"/>
    <w:rsid w:val="009E0562"/>
    <w:rsid w:val="009E270B"/>
    <w:rsid w:val="009E2A5C"/>
    <w:rsid w:val="009E40AB"/>
    <w:rsid w:val="009F04F7"/>
    <w:rsid w:val="009F064A"/>
    <w:rsid w:val="009F3430"/>
    <w:rsid w:val="009F49CC"/>
    <w:rsid w:val="009F5504"/>
    <w:rsid w:val="009F780B"/>
    <w:rsid w:val="00A038BD"/>
    <w:rsid w:val="00A04050"/>
    <w:rsid w:val="00A04A8D"/>
    <w:rsid w:val="00A062B7"/>
    <w:rsid w:val="00A10CF2"/>
    <w:rsid w:val="00A1217A"/>
    <w:rsid w:val="00A14B27"/>
    <w:rsid w:val="00A15463"/>
    <w:rsid w:val="00A159F8"/>
    <w:rsid w:val="00A1697E"/>
    <w:rsid w:val="00A17017"/>
    <w:rsid w:val="00A1780C"/>
    <w:rsid w:val="00A20352"/>
    <w:rsid w:val="00A24738"/>
    <w:rsid w:val="00A310E3"/>
    <w:rsid w:val="00A31F77"/>
    <w:rsid w:val="00A322CF"/>
    <w:rsid w:val="00A333EC"/>
    <w:rsid w:val="00A365E5"/>
    <w:rsid w:val="00A36EEE"/>
    <w:rsid w:val="00A427FF"/>
    <w:rsid w:val="00A43E17"/>
    <w:rsid w:val="00A4699F"/>
    <w:rsid w:val="00A46C2F"/>
    <w:rsid w:val="00A470B4"/>
    <w:rsid w:val="00A477BB"/>
    <w:rsid w:val="00A47FAF"/>
    <w:rsid w:val="00A503EE"/>
    <w:rsid w:val="00A50DBD"/>
    <w:rsid w:val="00A51AB7"/>
    <w:rsid w:val="00A51AEE"/>
    <w:rsid w:val="00A56285"/>
    <w:rsid w:val="00A56ACB"/>
    <w:rsid w:val="00A62431"/>
    <w:rsid w:val="00A628DC"/>
    <w:rsid w:val="00A629CF"/>
    <w:rsid w:val="00A631EE"/>
    <w:rsid w:val="00A6489A"/>
    <w:rsid w:val="00A66578"/>
    <w:rsid w:val="00A67592"/>
    <w:rsid w:val="00A7217F"/>
    <w:rsid w:val="00A722F9"/>
    <w:rsid w:val="00A75F95"/>
    <w:rsid w:val="00A76652"/>
    <w:rsid w:val="00A81323"/>
    <w:rsid w:val="00A81822"/>
    <w:rsid w:val="00A834B0"/>
    <w:rsid w:val="00A83570"/>
    <w:rsid w:val="00A87631"/>
    <w:rsid w:val="00A87662"/>
    <w:rsid w:val="00A911B3"/>
    <w:rsid w:val="00A91560"/>
    <w:rsid w:val="00A92B34"/>
    <w:rsid w:val="00A935E1"/>
    <w:rsid w:val="00A9452D"/>
    <w:rsid w:val="00A97D7A"/>
    <w:rsid w:val="00AA2ADD"/>
    <w:rsid w:val="00AA66A4"/>
    <w:rsid w:val="00AA6BB1"/>
    <w:rsid w:val="00AB143A"/>
    <w:rsid w:val="00AB1DC9"/>
    <w:rsid w:val="00AB3DA3"/>
    <w:rsid w:val="00AB69A8"/>
    <w:rsid w:val="00AC3BE3"/>
    <w:rsid w:val="00AC40E9"/>
    <w:rsid w:val="00AC4BF6"/>
    <w:rsid w:val="00AC55D3"/>
    <w:rsid w:val="00AC7298"/>
    <w:rsid w:val="00AD07FF"/>
    <w:rsid w:val="00AD0975"/>
    <w:rsid w:val="00AD0CC9"/>
    <w:rsid w:val="00AD3561"/>
    <w:rsid w:val="00AD6ECE"/>
    <w:rsid w:val="00AE0248"/>
    <w:rsid w:val="00AE31DE"/>
    <w:rsid w:val="00AE4280"/>
    <w:rsid w:val="00AE4397"/>
    <w:rsid w:val="00AE4EDF"/>
    <w:rsid w:val="00AE6CF9"/>
    <w:rsid w:val="00AF027D"/>
    <w:rsid w:val="00AF0AF7"/>
    <w:rsid w:val="00AF3112"/>
    <w:rsid w:val="00AF39EF"/>
    <w:rsid w:val="00AF3BD4"/>
    <w:rsid w:val="00AF53B1"/>
    <w:rsid w:val="00AF5FE0"/>
    <w:rsid w:val="00B004A7"/>
    <w:rsid w:val="00B01F5A"/>
    <w:rsid w:val="00B051DC"/>
    <w:rsid w:val="00B05B4B"/>
    <w:rsid w:val="00B12744"/>
    <w:rsid w:val="00B149E8"/>
    <w:rsid w:val="00B15138"/>
    <w:rsid w:val="00B1601E"/>
    <w:rsid w:val="00B236AB"/>
    <w:rsid w:val="00B2608C"/>
    <w:rsid w:val="00B313B9"/>
    <w:rsid w:val="00B323BC"/>
    <w:rsid w:val="00B348A5"/>
    <w:rsid w:val="00B36777"/>
    <w:rsid w:val="00B41C4B"/>
    <w:rsid w:val="00B436B5"/>
    <w:rsid w:val="00B464B6"/>
    <w:rsid w:val="00B469BD"/>
    <w:rsid w:val="00B542D6"/>
    <w:rsid w:val="00B559BD"/>
    <w:rsid w:val="00B60555"/>
    <w:rsid w:val="00B611FF"/>
    <w:rsid w:val="00B63B48"/>
    <w:rsid w:val="00B64E62"/>
    <w:rsid w:val="00B6636F"/>
    <w:rsid w:val="00B71281"/>
    <w:rsid w:val="00B75072"/>
    <w:rsid w:val="00B75CA2"/>
    <w:rsid w:val="00B76859"/>
    <w:rsid w:val="00B77D64"/>
    <w:rsid w:val="00B81D3B"/>
    <w:rsid w:val="00B82A16"/>
    <w:rsid w:val="00B837B0"/>
    <w:rsid w:val="00B83B06"/>
    <w:rsid w:val="00B83D3E"/>
    <w:rsid w:val="00B83E2D"/>
    <w:rsid w:val="00B84ED6"/>
    <w:rsid w:val="00B9653D"/>
    <w:rsid w:val="00B96663"/>
    <w:rsid w:val="00B9693F"/>
    <w:rsid w:val="00B96CCC"/>
    <w:rsid w:val="00BA1DDA"/>
    <w:rsid w:val="00BA2B54"/>
    <w:rsid w:val="00BA3155"/>
    <w:rsid w:val="00BA62D1"/>
    <w:rsid w:val="00BB1EBE"/>
    <w:rsid w:val="00BB32F1"/>
    <w:rsid w:val="00BB34EC"/>
    <w:rsid w:val="00BB541A"/>
    <w:rsid w:val="00BB746E"/>
    <w:rsid w:val="00BB75C9"/>
    <w:rsid w:val="00BC0195"/>
    <w:rsid w:val="00BC092A"/>
    <w:rsid w:val="00BC219B"/>
    <w:rsid w:val="00BC38AF"/>
    <w:rsid w:val="00BC563E"/>
    <w:rsid w:val="00BC6303"/>
    <w:rsid w:val="00BD27C7"/>
    <w:rsid w:val="00BD2F67"/>
    <w:rsid w:val="00BD4529"/>
    <w:rsid w:val="00BD48C8"/>
    <w:rsid w:val="00BD52D5"/>
    <w:rsid w:val="00BD5C72"/>
    <w:rsid w:val="00BD6701"/>
    <w:rsid w:val="00BE1906"/>
    <w:rsid w:val="00BE217B"/>
    <w:rsid w:val="00BE42B1"/>
    <w:rsid w:val="00BE7562"/>
    <w:rsid w:val="00BF0D1A"/>
    <w:rsid w:val="00BF211E"/>
    <w:rsid w:val="00BF3FDB"/>
    <w:rsid w:val="00BF47F5"/>
    <w:rsid w:val="00BF5385"/>
    <w:rsid w:val="00BF5E77"/>
    <w:rsid w:val="00BF69E5"/>
    <w:rsid w:val="00BF75ED"/>
    <w:rsid w:val="00BF7965"/>
    <w:rsid w:val="00BF7DC8"/>
    <w:rsid w:val="00C0115F"/>
    <w:rsid w:val="00C02F91"/>
    <w:rsid w:val="00C04B65"/>
    <w:rsid w:val="00C06539"/>
    <w:rsid w:val="00C06895"/>
    <w:rsid w:val="00C0755A"/>
    <w:rsid w:val="00C112C6"/>
    <w:rsid w:val="00C12D1C"/>
    <w:rsid w:val="00C132CB"/>
    <w:rsid w:val="00C13B3B"/>
    <w:rsid w:val="00C212AC"/>
    <w:rsid w:val="00C2276D"/>
    <w:rsid w:val="00C23E90"/>
    <w:rsid w:val="00C27F55"/>
    <w:rsid w:val="00C3522E"/>
    <w:rsid w:val="00C36927"/>
    <w:rsid w:val="00C37380"/>
    <w:rsid w:val="00C37A6C"/>
    <w:rsid w:val="00C40E7E"/>
    <w:rsid w:val="00C43BBF"/>
    <w:rsid w:val="00C458B6"/>
    <w:rsid w:val="00C50D14"/>
    <w:rsid w:val="00C51A14"/>
    <w:rsid w:val="00C51FBD"/>
    <w:rsid w:val="00C52E80"/>
    <w:rsid w:val="00C542E3"/>
    <w:rsid w:val="00C548AC"/>
    <w:rsid w:val="00C55AEB"/>
    <w:rsid w:val="00C55CF3"/>
    <w:rsid w:val="00C56407"/>
    <w:rsid w:val="00C5735D"/>
    <w:rsid w:val="00C57A42"/>
    <w:rsid w:val="00C57C7A"/>
    <w:rsid w:val="00C57D2C"/>
    <w:rsid w:val="00C609BA"/>
    <w:rsid w:val="00C61001"/>
    <w:rsid w:val="00C62317"/>
    <w:rsid w:val="00C62470"/>
    <w:rsid w:val="00C6361C"/>
    <w:rsid w:val="00C63F54"/>
    <w:rsid w:val="00C65912"/>
    <w:rsid w:val="00C66725"/>
    <w:rsid w:val="00C6674B"/>
    <w:rsid w:val="00C6781D"/>
    <w:rsid w:val="00C71685"/>
    <w:rsid w:val="00C73EB6"/>
    <w:rsid w:val="00C743F8"/>
    <w:rsid w:val="00C75DE4"/>
    <w:rsid w:val="00C75F62"/>
    <w:rsid w:val="00C804E5"/>
    <w:rsid w:val="00C807E8"/>
    <w:rsid w:val="00C80E9C"/>
    <w:rsid w:val="00C82230"/>
    <w:rsid w:val="00C824E0"/>
    <w:rsid w:val="00C85459"/>
    <w:rsid w:val="00C867E7"/>
    <w:rsid w:val="00C94463"/>
    <w:rsid w:val="00C94957"/>
    <w:rsid w:val="00C950F8"/>
    <w:rsid w:val="00C95A72"/>
    <w:rsid w:val="00CA2BDC"/>
    <w:rsid w:val="00CA7A83"/>
    <w:rsid w:val="00CA7DAF"/>
    <w:rsid w:val="00CB01F8"/>
    <w:rsid w:val="00CB2767"/>
    <w:rsid w:val="00CB3653"/>
    <w:rsid w:val="00CB3C9F"/>
    <w:rsid w:val="00CB692D"/>
    <w:rsid w:val="00CC18D9"/>
    <w:rsid w:val="00CC1E5F"/>
    <w:rsid w:val="00CC36D2"/>
    <w:rsid w:val="00CC3C4B"/>
    <w:rsid w:val="00CC4F12"/>
    <w:rsid w:val="00CC538E"/>
    <w:rsid w:val="00CC5A86"/>
    <w:rsid w:val="00CD56E3"/>
    <w:rsid w:val="00CE080A"/>
    <w:rsid w:val="00CE0F4A"/>
    <w:rsid w:val="00CE163A"/>
    <w:rsid w:val="00CE17D0"/>
    <w:rsid w:val="00CE1D53"/>
    <w:rsid w:val="00CE20E1"/>
    <w:rsid w:val="00CE46F0"/>
    <w:rsid w:val="00CE5644"/>
    <w:rsid w:val="00CE6825"/>
    <w:rsid w:val="00CF3398"/>
    <w:rsid w:val="00CF3F42"/>
    <w:rsid w:val="00CF57A2"/>
    <w:rsid w:val="00CF6782"/>
    <w:rsid w:val="00CF6CE5"/>
    <w:rsid w:val="00CF77A2"/>
    <w:rsid w:val="00D0130C"/>
    <w:rsid w:val="00D05940"/>
    <w:rsid w:val="00D066FD"/>
    <w:rsid w:val="00D07961"/>
    <w:rsid w:val="00D1077A"/>
    <w:rsid w:val="00D118B2"/>
    <w:rsid w:val="00D128EB"/>
    <w:rsid w:val="00D15F1D"/>
    <w:rsid w:val="00D16214"/>
    <w:rsid w:val="00D17377"/>
    <w:rsid w:val="00D20918"/>
    <w:rsid w:val="00D2314D"/>
    <w:rsid w:val="00D24C30"/>
    <w:rsid w:val="00D25299"/>
    <w:rsid w:val="00D26522"/>
    <w:rsid w:val="00D349DD"/>
    <w:rsid w:val="00D40310"/>
    <w:rsid w:val="00D42A07"/>
    <w:rsid w:val="00D441A5"/>
    <w:rsid w:val="00D45624"/>
    <w:rsid w:val="00D5146F"/>
    <w:rsid w:val="00D51EFF"/>
    <w:rsid w:val="00D548BF"/>
    <w:rsid w:val="00D561AE"/>
    <w:rsid w:val="00D61C9E"/>
    <w:rsid w:val="00D64E37"/>
    <w:rsid w:val="00D6686F"/>
    <w:rsid w:val="00D70219"/>
    <w:rsid w:val="00D70D45"/>
    <w:rsid w:val="00D72C57"/>
    <w:rsid w:val="00D730AE"/>
    <w:rsid w:val="00D7311F"/>
    <w:rsid w:val="00D745DE"/>
    <w:rsid w:val="00D7751C"/>
    <w:rsid w:val="00D77DE7"/>
    <w:rsid w:val="00D8072D"/>
    <w:rsid w:val="00D8259F"/>
    <w:rsid w:val="00D83BDE"/>
    <w:rsid w:val="00D84ED7"/>
    <w:rsid w:val="00D860FE"/>
    <w:rsid w:val="00D87345"/>
    <w:rsid w:val="00D91046"/>
    <w:rsid w:val="00D916E1"/>
    <w:rsid w:val="00D921CD"/>
    <w:rsid w:val="00D939F6"/>
    <w:rsid w:val="00D976D6"/>
    <w:rsid w:val="00DA18A6"/>
    <w:rsid w:val="00DA1C90"/>
    <w:rsid w:val="00DA4735"/>
    <w:rsid w:val="00DA6446"/>
    <w:rsid w:val="00DB19F9"/>
    <w:rsid w:val="00DB2AFB"/>
    <w:rsid w:val="00DB6E9B"/>
    <w:rsid w:val="00DB7893"/>
    <w:rsid w:val="00DC16FD"/>
    <w:rsid w:val="00DC1916"/>
    <w:rsid w:val="00DC2276"/>
    <w:rsid w:val="00DC25DC"/>
    <w:rsid w:val="00DC342E"/>
    <w:rsid w:val="00DC396B"/>
    <w:rsid w:val="00DC41DB"/>
    <w:rsid w:val="00DC53AE"/>
    <w:rsid w:val="00DC61F4"/>
    <w:rsid w:val="00DC6AF3"/>
    <w:rsid w:val="00DD0732"/>
    <w:rsid w:val="00DD4C90"/>
    <w:rsid w:val="00DD64B6"/>
    <w:rsid w:val="00DD6A20"/>
    <w:rsid w:val="00DD7240"/>
    <w:rsid w:val="00DE03F0"/>
    <w:rsid w:val="00DE0E0B"/>
    <w:rsid w:val="00DE0F15"/>
    <w:rsid w:val="00DE424C"/>
    <w:rsid w:val="00DE5100"/>
    <w:rsid w:val="00DE66FE"/>
    <w:rsid w:val="00DF0CBD"/>
    <w:rsid w:val="00DF4D77"/>
    <w:rsid w:val="00DF503D"/>
    <w:rsid w:val="00E00948"/>
    <w:rsid w:val="00E0368F"/>
    <w:rsid w:val="00E04B18"/>
    <w:rsid w:val="00E05A6C"/>
    <w:rsid w:val="00E06B7D"/>
    <w:rsid w:val="00E100F2"/>
    <w:rsid w:val="00E1182E"/>
    <w:rsid w:val="00E127E8"/>
    <w:rsid w:val="00E12A39"/>
    <w:rsid w:val="00E164B5"/>
    <w:rsid w:val="00E16564"/>
    <w:rsid w:val="00E21FB4"/>
    <w:rsid w:val="00E22135"/>
    <w:rsid w:val="00E221FF"/>
    <w:rsid w:val="00E2293E"/>
    <w:rsid w:val="00E23DA0"/>
    <w:rsid w:val="00E26F32"/>
    <w:rsid w:val="00E300C4"/>
    <w:rsid w:val="00E32F62"/>
    <w:rsid w:val="00E355EA"/>
    <w:rsid w:val="00E3563D"/>
    <w:rsid w:val="00E35BB1"/>
    <w:rsid w:val="00E36710"/>
    <w:rsid w:val="00E37C17"/>
    <w:rsid w:val="00E40691"/>
    <w:rsid w:val="00E40874"/>
    <w:rsid w:val="00E40FB2"/>
    <w:rsid w:val="00E4360E"/>
    <w:rsid w:val="00E44CCA"/>
    <w:rsid w:val="00E47CEB"/>
    <w:rsid w:val="00E50FD4"/>
    <w:rsid w:val="00E51030"/>
    <w:rsid w:val="00E51600"/>
    <w:rsid w:val="00E5747A"/>
    <w:rsid w:val="00E575E6"/>
    <w:rsid w:val="00E60AD7"/>
    <w:rsid w:val="00E60EDF"/>
    <w:rsid w:val="00E641BF"/>
    <w:rsid w:val="00E660FE"/>
    <w:rsid w:val="00E6726A"/>
    <w:rsid w:val="00E7105E"/>
    <w:rsid w:val="00E72A88"/>
    <w:rsid w:val="00E72CF0"/>
    <w:rsid w:val="00E74325"/>
    <w:rsid w:val="00E75FEB"/>
    <w:rsid w:val="00E7715A"/>
    <w:rsid w:val="00E77635"/>
    <w:rsid w:val="00E817F0"/>
    <w:rsid w:val="00E82E5E"/>
    <w:rsid w:val="00E842EE"/>
    <w:rsid w:val="00E84AAD"/>
    <w:rsid w:val="00E874A9"/>
    <w:rsid w:val="00E9157C"/>
    <w:rsid w:val="00E91A5C"/>
    <w:rsid w:val="00E9254D"/>
    <w:rsid w:val="00E94D0E"/>
    <w:rsid w:val="00E96238"/>
    <w:rsid w:val="00EA1ACB"/>
    <w:rsid w:val="00EA2307"/>
    <w:rsid w:val="00EA3AA8"/>
    <w:rsid w:val="00EA3C16"/>
    <w:rsid w:val="00EA4B94"/>
    <w:rsid w:val="00EA6172"/>
    <w:rsid w:val="00EB24B2"/>
    <w:rsid w:val="00EB339B"/>
    <w:rsid w:val="00EB3F08"/>
    <w:rsid w:val="00EB591E"/>
    <w:rsid w:val="00EB69AA"/>
    <w:rsid w:val="00EC1A77"/>
    <w:rsid w:val="00EC6925"/>
    <w:rsid w:val="00EC6CBE"/>
    <w:rsid w:val="00ED42E9"/>
    <w:rsid w:val="00ED62E2"/>
    <w:rsid w:val="00ED6E5A"/>
    <w:rsid w:val="00ED6EA4"/>
    <w:rsid w:val="00ED78C0"/>
    <w:rsid w:val="00EE34F6"/>
    <w:rsid w:val="00EE4DF6"/>
    <w:rsid w:val="00EE6C7C"/>
    <w:rsid w:val="00EF0693"/>
    <w:rsid w:val="00EF23B8"/>
    <w:rsid w:val="00EF4262"/>
    <w:rsid w:val="00EF4DAE"/>
    <w:rsid w:val="00EF5245"/>
    <w:rsid w:val="00EF6463"/>
    <w:rsid w:val="00EF654F"/>
    <w:rsid w:val="00EF6EF9"/>
    <w:rsid w:val="00F020FC"/>
    <w:rsid w:val="00F035A0"/>
    <w:rsid w:val="00F043E1"/>
    <w:rsid w:val="00F050B4"/>
    <w:rsid w:val="00F06CA7"/>
    <w:rsid w:val="00F10C2C"/>
    <w:rsid w:val="00F11F91"/>
    <w:rsid w:val="00F13428"/>
    <w:rsid w:val="00F1547A"/>
    <w:rsid w:val="00F15AED"/>
    <w:rsid w:val="00F168CB"/>
    <w:rsid w:val="00F23056"/>
    <w:rsid w:val="00F23806"/>
    <w:rsid w:val="00F26831"/>
    <w:rsid w:val="00F26BD9"/>
    <w:rsid w:val="00F30EFB"/>
    <w:rsid w:val="00F34E1E"/>
    <w:rsid w:val="00F35494"/>
    <w:rsid w:val="00F3689A"/>
    <w:rsid w:val="00F376DE"/>
    <w:rsid w:val="00F40125"/>
    <w:rsid w:val="00F4069D"/>
    <w:rsid w:val="00F40DE4"/>
    <w:rsid w:val="00F412D4"/>
    <w:rsid w:val="00F420C8"/>
    <w:rsid w:val="00F43E0E"/>
    <w:rsid w:val="00F45585"/>
    <w:rsid w:val="00F46CCC"/>
    <w:rsid w:val="00F504A0"/>
    <w:rsid w:val="00F5127B"/>
    <w:rsid w:val="00F54EFD"/>
    <w:rsid w:val="00F57F1B"/>
    <w:rsid w:val="00F602CF"/>
    <w:rsid w:val="00F62C68"/>
    <w:rsid w:val="00F652A7"/>
    <w:rsid w:val="00F70D66"/>
    <w:rsid w:val="00F71D1D"/>
    <w:rsid w:val="00F74526"/>
    <w:rsid w:val="00F772AF"/>
    <w:rsid w:val="00F81529"/>
    <w:rsid w:val="00F816DF"/>
    <w:rsid w:val="00F86372"/>
    <w:rsid w:val="00F8654D"/>
    <w:rsid w:val="00F937EA"/>
    <w:rsid w:val="00F93E7E"/>
    <w:rsid w:val="00F95726"/>
    <w:rsid w:val="00FA040B"/>
    <w:rsid w:val="00FA0E8E"/>
    <w:rsid w:val="00FA23A6"/>
    <w:rsid w:val="00FA5214"/>
    <w:rsid w:val="00FA52FA"/>
    <w:rsid w:val="00FA61FE"/>
    <w:rsid w:val="00FB1C0D"/>
    <w:rsid w:val="00FC2897"/>
    <w:rsid w:val="00FC2D0D"/>
    <w:rsid w:val="00FC5105"/>
    <w:rsid w:val="00FD050B"/>
    <w:rsid w:val="00FD1C99"/>
    <w:rsid w:val="00FD1D03"/>
    <w:rsid w:val="00FD334A"/>
    <w:rsid w:val="00FD593E"/>
    <w:rsid w:val="00FD621E"/>
    <w:rsid w:val="00FD6752"/>
    <w:rsid w:val="00FD67F6"/>
    <w:rsid w:val="00FE1EF8"/>
    <w:rsid w:val="00FE25F9"/>
    <w:rsid w:val="00FE28F2"/>
    <w:rsid w:val="00FE290E"/>
    <w:rsid w:val="00FE3510"/>
    <w:rsid w:val="00FE75F9"/>
    <w:rsid w:val="00FF096C"/>
    <w:rsid w:val="00FF560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A0089"/>
  <w15:docId w15:val="{58170C96-B23A-4EA5-AB2C-545886751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B52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B52C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styleId="PargrafodaLista">
    <w:name w:val="List Paragraph"/>
    <w:basedOn w:val="Normal"/>
    <w:rsid w:val="005B52C0"/>
    <w:pPr>
      <w:ind w:left="720"/>
    </w:pPr>
  </w:style>
  <w:style w:type="paragraph" w:styleId="Rodap">
    <w:name w:val="footer"/>
    <w:basedOn w:val="Normal"/>
    <w:link w:val="Rodap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52C0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52C0"/>
    <w:rPr>
      <w:rFonts w:ascii="Tahoma" w:eastAsia="Arial Unicode MS" w:hAnsi="Tahoma" w:cs="Tahoma"/>
      <w:kern w:val="3"/>
      <w:sz w:val="16"/>
      <w:szCs w:val="16"/>
      <w:lang w:val="en-CA" w:eastAsia="pt-BR"/>
    </w:rPr>
  </w:style>
  <w:style w:type="paragraph" w:styleId="Cabealho">
    <w:name w:val="header"/>
    <w:basedOn w:val="Normal"/>
    <w:link w:val="Cabealho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table" w:styleId="Tabelacomgrade">
    <w:name w:val="Table Grid"/>
    <w:basedOn w:val="Tabelanormal"/>
    <w:uiPriority w:val="59"/>
    <w:rsid w:val="00E6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1C64B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C64B8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C64B8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C64B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C64B8"/>
    <w:rPr>
      <w:rFonts w:ascii="Times New Roman" w:eastAsia="Arial Unicode MS" w:hAnsi="Times New Roman" w:cs="Tahoma"/>
      <w:b/>
      <w:bCs/>
      <w:kern w:val="3"/>
      <w:sz w:val="20"/>
      <w:szCs w:val="20"/>
      <w:lang w:val="en-CA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77E3-EFBE-4067-9540-AB6B3872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1163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4</cp:revision>
  <cp:lastPrinted>2012-11-05T15:27:00Z</cp:lastPrinted>
  <dcterms:created xsi:type="dcterms:W3CDTF">2012-11-08T13:47:00Z</dcterms:created>
  <dcterms:modified xsi:type="dcterms:W3CDTF">2013-08-12T17:09:00Z</dcterms:modified>
</cp:coreProperties>
</file>