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A1A84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FB0CC" wp14:editId="12AE76A0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21930" w14:textId="77777777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24BD1723" w14:textId="77777777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03.</w:t>
                            </w:r>
                            <w:r w:rsidR="002D5738">
                              <w:rPr>
                                <w:rFonts w:ascii="Verdana" w:hAnsi="Verdan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FB0CC" id="Caixa de texto 20" o:spid="_x0000_s1026" style="position:absolute;left:0;text-align:left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2AF21930" w14:textId="77777777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24BD1723" w14:textId="77777777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03.</w:t>
                      </w:r>
                      <w:r w:rsidR="002D5738">
                        <w:rPr>
                          <w:rFonts w:ascii="Verdana" w:hAnsi="Verdan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EE815D0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Abordagem </w:t>
      </w:r>
      <w:r w:rsidR="002D5738">
        <w:rPr>
          <w:rFonts w:ascii="Verdana" w:hAnsi="Verdana"/>
          <w:b/>
          <w:bCs/>
          <w:color w:val="000000"/>
        </w:rPr>
        <w:t>Y</w:t>
      </w:r>
    </w:p>
    <w:p w14:paraId="0899C0EE" w14:textId="77777777" w:rsidR="005B52C0" w:rsidRPr="006A7DD2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 w:rsidRPr="006A7DD2">
        <w:rPr>
          <w:rFonts w:ascii="Verdana" w:hAnsi="Verdana"/>
          <w:b/>
          <w:color w:val="000000"/>
          <w:sz w:val="22"/>
          <w:szCs w:val="22"/>
        </w:rPr>
        <w:t>I</w:t>
      </w:r>
      <w:r>
        <w:rPr>
          <w:rFonts w:ascii="Verdana" w:hAnsi="Verdana"/>
          <w:b/>
          <w:color w:val="000000"/>
          <w:sz w:val="22"/>
          <w:szCs w:val="22"/>
        </w:rPr>
        <w:t>.</w:t>
      </w:r>
      <w:r w:rsidRPr="006A7DD2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8D2B2F">
        <w:rPr>
          <w:rFonts w:ascii="Verdana" w:hAnsi="Verdana"/>
          <w:b/>
          <w:color w:val="000000"/>
          <w:sz w:val="22"/>
          <w:szCs w:val="22"/>
        </w:rPr>
        <w:t>Visão Geral</w:t>
      </w:r>
      <w:r>
        <w:rPr>
          <w:rFonts w:ascii="Verdana" w:hAnsi="Verdana"/>
          <w:b/>
          <w:color w:val="000000"/>
          <w:sz w:val="22"/>
          <w:szCs w:val="22"/>
        </w:rPr>
        <w:t xml:space="preserve"> Abordagem X</w:t>
      </w:r>
    </w:p>
    <w:p w14:paraId="0D8B2150" w14:textId="77777777" w:rsidR="005B52C0" w:rsidRDefault="005B52C0" w:rsidP="005B52C0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350F3D49" w14:textId="24AEE1D4" w:rsidR="00641037" w:rsidRDefault="00641037" w:rsidP="001D274D">
      <w:pPr>
        <w:pStyle w:val="Standard"/>
        <w:jc w:val="center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 w:themeColor="text1"/>
          <w:sz w:val="18"/>
          <w:szCs w:val="18"/>
        </w:rPr>
        <w:t>Tabela I</w:t>
      </w:r>
      <w:r w:rsidRPr="000816EB">
        <w:rPr>
          <w:rFonts w:ascii="Verdana" w:hAnsi="Verdana"/>
          <w:color w:val="000000" w:themeColor="text1"/>
          <w:sz w:val="18"/>
          <w:szCs w:val="18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</w:rPr>
        <w:t>Visão Geral Abordagem Y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522"/>
        <w:gridCol w:w="1026"/>
        <w:gridCol w:w="958"/>
        <w:gridCol w:w="5210"/>
      </w:tblGrid>
      <w:tr w:rsidR="008D2B2F" w:rsidRPr="008D2B2F" w14:paraId="1599DB65" w14:textId="77777777" w:rsidTr="008D2B2F">
        <w:trPr>
          <w:jc w:val="center"/>
        </w:trPr>
        <w:tc>
          <w:tcPr>
            <w:tcW w:w="9716" w:type="dxa"/>
            <w:gridSpan w:val="4"/>
            <w:shd w:val="clear" w:color="auto" w:fill="000000" w:themeFill="text1"/>
          </w:tcPr>
          <w:p w14:paraId="2D89AC0B" w14:textId="77777777" w:rsidR="008D2B2F" w:rsidRPr="008D2B2F" w:rsidRDefault="008D2B2F" w:rsidP="004618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 xml:space="preserve">Abordagem </w:t>
            </w:r>
            <w:r w:rsidR="0046183B">
              <w:rPr>
                <w:rFonts w:ascii="Verdana" w:hAnsi="Verdana"/>
                <w:b/>
                <w:sz w:val="20"/>
                <w:szCs w:val="20"/>
              </w:rPr>
              <w:t>Y</w:t>
            </w:r>
          </w:p>
        </w:tc>
      </w:tr>
      <w:tr w:rsidR="008D2B2F" w:rsidRPr="008D2B2F" w14:paraId="7E5817A1" w14:textId="77777777" w:rsidTr="008D2B2F">
        <w:trPr>
          <w:jc w:val="center"/>
        </w:trPr>
        <w:tc>
          <w:tcPr>
            <w:tcW w:w="2522" w:type="dxa"/>
            <w:shd w:val="clear" w:color="auto" w:fill="000000" w:themeFill="text1"/>
          </w:tcPr>
          <w:p w14:paraId="4A826A69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Item</w:t>
            </w:r>
          </w:p>
        </w:tc>
        <w:tc>
          <w:tcPr>
            <w:tcW w:w="1026" w:type="dxa"/>
            <w:shd w:val="clear" w:color="auto" w:fill="000000" w:themeFill="text1"/>
          </w:tcPr>
          <w:p w14:paraId="08392B3E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Sim</w:t>
            </w:r>
          </w:p>
        </w:tc>
        <w:tc>
          <w:tcPr>
            <w:tcW w:w="958" w:type="dxa"/>
            <w:shd w:val="clear" w:color="auto" w:fill="000000" w:themeFill="text1"/>
          </w:tcPr>
          <w:p w14:paraId="143CAEFC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Não</w:t>
            </w:r>
          </w:p>
        </w:tc>
        <w:tc>
          <w:tcPr>
            <w:tcW w:w="5210" w:type="dxa"/>
            <w:shd w:val="clear" w:color="auto" w:fill="000000" w:themeFill="text1"/>
          </w:tcPr>
          <w:p w14:paraId="7711BBA1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Observação</w:t>
            </w:r>
          </w:p>
        </w:tc>
      </w:tr>
      <w:tr w:rsidR="008D2B2F" w:rsidRPr="008D2B2F" w14:paraId="1FFB5386" w14:textId="77777777" w:rsidTr="008D2B2F">
        <w:trPr>
          <w:jc w:val="center"/>
        </w:trPr>
        <w:tc>
          <w:tcPr>
            <w:tcW w:w="2522" w:type="dxa"/>
            <w:vAlign w:val="center"/>
          </w:tcPr>
          <w:p w14:paraId="148F7D58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Baseada em UML?</w:t>
            </w:r>
          </w:p>
        </w:tc>
        <w:tc>
          <w:tcPr>
            <w:tcW w:w="1026" w:type="dxa"/>
            <w:vAlign w:val="center"/>
          </w:tcPr>
          <w:p w14:paraId="5FC84433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20ED5150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4B553C69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2B2F" w:rsidRPr="008D2B2F" w14:paraId="153D2A4F" w14:textId="77777777" w:rsidTr="008D2B2F">
        <w:trPr>
          <w:jc w:val="center"/>
        </w:trPr>
        <w:tc>
          <w:tcPr>
            <w:tcW w:w="2522" w:type="dxa"/>
            <w:vAlign w:val="center"/>
          </w:tcPr>
          <w:p w14:paraId="07C00B2F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Perfil?</w:t>
            </w:r>
          </w:p>
        </w:tc>
        <w:tc>
          <w:tcPr>
            <w:tcW w:w="1026" w:type="dxa"/>
            <w:vAlign w:val="center"/>
          </w:tcPr>
          <w:p w14:paraId="6D79B2D5" w14:textId="77777777" w:rsidR="008D2B2F" w:rsidRPr="008D2B2F" w:rsidRDefault="002041EC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70CE8E63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3F39534B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2B2F" w:rsidRPr="008D2B2F" w14:paraId="20259813" w14:textId="77777777" w:rsidTr="008D2B2F">
        <w:trPr>
          <w:jc w:val="center"/>
        </w:trPr>
        <w:tc>
          <w:tcPr>
            <w:tcW w:w="2522" w:type="dxa"/>
            <w:vAlign w:val="center"/>
          </w:tcPr>
          <w:p w14:paraId="668CC5CE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Processo?</w:t>
            </w:r>
          </w:p>
        </w:tc>
        <w:tc>
          <w:tcPr>
            <w:tcW w:w="1026" w:type="dxa"/>
            <w:vAlign w:val="center"/>
          </w:tcPr>
          <w:p w14:paraId="418D5703" w14:textId="77777777" w:rsidR="008D2B2F" w:rsidRPr="008D2B2F" w:rsidRDefault="002041EC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664FEC7F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2330BF3F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2B2F" w:rsidRPr="00AB346B" w14:paraId="5ECCDA3D" w14:textId="77777777" w:rsidTr="008D2B2F">
        <w:trPr>
          <w:jc w:val="center"/>
        </w:trPr>
        <w:tc>
          <w:tcPr>
            <w:tcW w:w="2522" w:type="dxa"/>
            <w:vAlign w:val="center"/>
          </w:tcPr>
          <w:p w14:paraId="5D47CF9E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Estereótipos?</w:t>
            </w:r>
          </w:p>
        </w:tc>
        <w:tc>
          <w:tcPr>
            <w:tcW w:w="1026" w:type="dxa"/>
            <w:vAlign w:val="center"/>
          </w:tcPr>
          <w:p w14:paraId="26F4BB83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15CA65A3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10A9D7EA" w14:textId="77777777" w:rsidR="008D2B2F" w:rsidRPr="008D2B2F" w:rsidRDefault="008D2B2F" w:rsidP="002041EC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 w:rsidRPr="008D2B2F">
              <w:rPr>
                <w:rFonts w:ascii="Verdana" w:hAnsi="Verdana"/>
                <w:sz w:val="20"/>
                <w:szCs w:val="20"/>
                <w:lang w:val="pt-BR"/>
              </w:rPr>
              <w:t>Estereótipos específicos</w:t>
            </w:r>
            <w:r w:rsidR="002041EC">
              <w:rPr>
                <w:rFonts w:ascii="Verdana" w:hAnsi="Verdana"/>
                <w:sz w:val="20"/>
                <w:szCs w:val="20"/>
                <w:lang w:val="pt-BR"/>
              </w:rPr>
              <w:t xml:space="preserve"> padrões para todos os modelos.</w:t>
            </w:r>
          </w:p>
        </w:tc>
      </w:tr>
      <w:tr w:rsidR="008D2B2F" w:rsidRPr="00AB346B" w14:paraId="19BE093E" w14:textId="77777777" w:rsidTr="008D2B2F">
        <w:trPr>
          <w:jc w:val="center"/>
        </w:trPr>
        <w:tc>
          <w:tcPr>
            <w:tcW w:w="2522" w:type="dxa"/>
            <w:vAlign w:val="center"/>
          </w:tcPr>
          <w:p w14:paraId="73DD32C5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Diretrizes?</w:t>
            </w:r>
          </w:p>
        </w:tc>
        <w:tc>
          <w:tcPr>
            <w:tcW w:w="1026" w:type="dxa"/>
            <w:vAlign w:val="center"/>
          </w:tcPr>
          <w:p w14:paraId="07F19CE4" w14:textId="77777777" w:rsidR="008D2B2F" w:rsidRPr="008D2B2F" w:rsidRDefault="002041EC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5B1C8AE7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7109A2F8" w14:textId="77777777" w:rsidR="008D2B2F" w:rsidRPr="008D2B2F" w:rsidRDefault="002041EC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D</w:t>
            </w:r>
            <w:r w:rsidR="002D5738">
              <w:rPr>
                <w:rFonts w:ascii="Verdana" w:hAnsi="Verdana"/>
                <w:sz w:val="20"/>
                <w:szCs w:val="20"/>
                <w:lang w:val="pt-BR"/>
              </w:rPr>
              <w:t>iretrizes específicas para cada modelo.</w:t>
            </w:r>
          </w:p>
        </w:tc>
      </w:tr>
    </w:tbl>
    <w:p w14:paraId="50616AA8" w14:textId="3482A3AA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p w14:paraId="4445A0EC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I</w:t>
      </w:r>
      <w:r w:rsidR="00E60AD7">
        <w:rPr>
          <w:rFonts w:ascii="Verdana" w:hAnsi="Verdana"/>
          <w:b/>
          <w:color w:val="000000"/>
          <w:sz w:val="22"/>
          <w:szCs w:val="22"/>
        </w:rPr>
        <w:t>I.</w:t>
      </w:r>
      <w:r>
        <w:rPr>
          <w:rFonts w:ascii="Verdana" w:hAnsi="Verdana"/>
          <w:b/>
          <w:color w:val="000000"/>
          <w:sz w:val="22"/>
          <w:szCs w:val="22"/>
        </w:rPr>
        <w:t xml:space="preserve"> Estereótipos e Diretrizes</w:t>
      </w:r>
    </w:p>
    <w:p w14:paraId="3E3B5B2C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06256DDF" w14:textId="374A1E7D" w:rsidR="005B52C0" w:rsidRPr="005B52C0" w:rsidRDefault="005B52C0" w:rsidP="00F632C4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Nesta seção são apresentados os estereótipos</w:t>
      </w:r>
      <w:r w:rsidR="004972F9">
        <w:rPr>
          <w:rFonts w:ascii="Verdana" w:hAnsi="Verdana"/>
          <w:color w:val="000000"/>
          <w:sz w:val="20"/>
          <w:szCs w:val="20"/>
        </w:rPr>
        <w:t xml:space="preserve"> para aplicação em casos de uso</w:t>
      </w:r>
      <w:r w:rsidR="002D5738">
        <w:rPr>
          <w:rFonts w:ascii="Verdana" w:hAnsi="Verdana"/>
          <w:color w:val="000000"/>
          <w:sz w:val="20"/>
          <w:szCs w:val="20"/>
        </w:rPr>
        <w:t>, existentes no perfil da abordagem</w:t>
      </w:r>
      <w:r w:rsidR="008D2B2F">
        <w:rPr>
          <w:rFonts w:ascii="Verdana" w:hAnsi="Verdana"/>
          <w:color w:val="000000"/>
          <w:sz w:val="20"/>
          <w:szCs w:val="20"/>
        </w:rPr>
        <w:t xml:space="preserve"> </w:t>
      </w:r>
      <w:r w:rsidR="002D5738">
        <w:rPr>
          <w:rFonts w:ascii="Verdana" w:hAnsi="Verdana"/>
          <w:color w:val="000000"/>
          <w:sz w:val="20"/>
          <w:szCs w:val="20"/>
        </w:rPr>
        <w:t xml:space="preserve">Y </w:t>
      </w:r>
      <w:r w:rsidR="006E495B">
        <w:rPr>
          <w:rFonts w:ascii="Verdana" w:hAnsi="Verdana"/>
          <w:color w:val="000000"/>
          <w:sz w:val="20"/>
          <w:szCs w:val="20"/>
        </w:rPr>
        <w:t xml:space="preserve">por meio </w:t>
      </w:r>
      <w:r w:rsidR="008D2B2F">
        <w:rPr>
          <w:rFonts w:ascii="Verdana" w:hAnsi="Verdana"/>
          <w:color w:val="000000"/>
          <w:sz w:val="20"/>
          <w:szCs w:val="20"/>
        </w:rPr>
        <w:t>da Tabela II,</w:t>
      </w:r>
      <w:r w:rsidR="00245F66">
        <w:rPr>
          <w:rFonts w:ascii="Verdana" w:hAnsi="Verdana"/>
          <w:color w:val="000000"/>
          <w:sz w:val="20"/>
          <w:szCs w:val="20"/>
        </w:rPr>
        <w:t xml:space="preserve"> em seguida</w:t>
      </w:r>
      <w:r w:rsidR="002D5738">
        <w:rPr>
          <w:rFonts w:ascii="Verdana" w:hAnsi="Verdana"/>
          <w:color w:val="000000"/>
          <w:sz w:val="20"/>
          <w:szCs w:val="20"/>
        </w:rPr>
        <w:t xml:space="preserve"> são apresentados</w:t>
      </w:r>
      <w:r w:rsidR="008D2B2F">
        <w:rPr>
          <w:rFonts w:ascii="Verdana" w:hAnsi="Verdana"/>
          <w:color w:val="000000"/>
          <w:sz w:val="20"/>
          <w:szCs w:val="20"/>
        </w:rPr>
        <w:t xml:space="preserve"> exemplos do uso destes</w:t>
      </w:r>
      <w:r w:rsidR="00245F66">
        <w:rPr>
          <w:rFonts w:ascii="Verdana" w:hAnsi="Verdana"/>
          <w:color w:val="000000"/>
          <w:sz w:val="20"/>
          <w:szCs w:val="20"/>
        </w:rPr>
        <w:t xml:space="preserve">, seguidos </w:t>
      </w:r>
      <w:r w:rsidR="002D5738">
        <w:rPr>
          <w:rFonts w:ascii="Verdana" w:hAnsi="Verdana"/>
          <w:color w:val="000000"/>
          <w:sz w:val="20"/>
          <w:szCs w:val="20"/>
        </w:rPr>
        <w:t>pelas diretrizes para cada tipo de modelo.</w:t>
      </w:r>
    </w:p>
    <w:p w14:paraId="64F4B10B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18945D7" w14:textId="5F60137C" w:rsidR="0064242C" w:rsidRDefault="0064242C" w:rsidP="001D274D">
      <w:pPr>
        <w:pStyle w:val="Standard"/>
        <w:jc w:val="center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color w:val="000000" w:themeColor="text1"/>
          <w:sz w:val="18"/>
          <w:szCs w:val="18"/>
        </w:rPr>
        <w:t>Tabela II</w:t>
      </w:r>
      <w:r w:rsidRPr="000816EB">
        <w:rPr>
          <w:rFonts w:ascii="Verdana" w:hAnsi="Verdana"/>
          <w:color w:val="000000" w:themeColor="text1"/>
          <w:sz w:val="18"/>
          <w:szCs w:val="18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</w:rPr>
        <w:t>Estereótipos da Abordagem Y para Casos de Uso</w:t>
      </w:r>
      <w:r w:rsidR="006E495B">
        <w:rPr>
          <w:rFonts w:ascii="Verdana" w:hAnsi="Verdana"/>
          <w:color w:val="000000" w:themeColor="text1"/>
          <w:sz w:val="18"/>
          <w:szCs w:val="18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755"/>
        <w:gridCol w:w="6722"/>
        <w:gridCol w:w="1013"/>
      </w:tblGrid>
      <w:tr w:rsidR="008D2B2F" w:rsidRPr="008D2B2F" w14:paraId="110B546D" w14:textId="77777777" w:rsidTr="00F97A4E">
        <w:trPr>
          <w:jc w:val="center"/>
        </w:trPr>
        <w:tc>
          <w:tcPr>
            <w:tcW w:w="10320" w:type="dxa"/>
            <w:gridSpan w:val="3"/>
            <w:shd w:val="clear" w:color="auto" w:fill="000000" w:themeFill="text1"/>
          </w:tcPr>
          <w:p w14:paraId="1A38D335" w14:textId="77777777" w:rsidR="008D2B2F" w:rsidRPr="008D2B2F" w:rsidRDefault="008D2B2F" w:rsidP="002D573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 xml:space="preserve">Estereótipos Abordagem </w:t>
            </w:r>
            <w:r w:rsidR="002D5738"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>Y</w:t>
            </w:r>
          </w:p>
        </w:tc>
      </w:tr>
      <w:tr w:rsidR="008D2B2F" w:rsidRPr="00AB346B" w14:paraId="2E090D04" w14:textId="77777777" w:rsidTr="00F97A4E">
        <w:trPr>
          <w:jc w:val="center"/>
        </w:trPr>
        <w:tc>
          <w:tcPr>
            <w:tcW w:w="10320" w:type="dxa"/>
            <w:gridSpan w:val="3"/>
            <w:shd w:val="clear" w:color="auto" w:fill="000000" w:themeFill="text1"/>
          </w:tcPr>
          <w:p w14:paraId="7AB2879A" w14:textId="03D85AE9" w:rsidR="008D2B2F" w:rsidRPr="008D2B2F" w:rsidRDefault="008D2B2F" w:rsidP="003B5D5B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 xml:space="preserve">Para </w:t>
            </w:r>
            <w:r w:rsidR="0046183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 xml:space="preserve">Casos de Uso </w:t>
            </w:r>
            <w:r w:rsidR="0046183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br/>
              <w:t>(Aplicados também aos demais modelos da abordagem)</w:t>
            </w:r>
          </w:p>
        </w:tc>
      </w:tr>
      <w:tr w:rsidR="008D2B2F" w:rsidRPr="008D2B2F" w14:paraId="284FBFB4" w14:textId="77777777" w:rsidTr="00F97A4E">
        <w:trPr>
          <w:jc w:val="center"/>
        </w:trPr>
        <w:tc>
          <w:tcPr>
            <w:tcW w:w="2585" w:type="dxa"/>
            <w:shd w:val="clear" w:color="auto" w:fill="000000" w:themeFill="text1"/>
          </w:tcPr>
          <w:p w14:paraId="2C4525DA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Estereótipo</w:t>
            </w:r>
          </w:p>
        </w:tc>
        <w:tc>
          <w:tcPr>
            <w:tcW w:w="6722" w:type="dxa"/>
            <w:shd w:val="clear" w:color="auto" w:fill="000000" w:themeFill="text1"/>
          </w:tcPr>
          <w:p w14:paraId="73C9D60A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Utilização</w:t>
            </w:r>
          </w:p>
        </w:tc>
        <w:tc>
          <w:tcPr>
            <w:tcW w:w="1013" w:type="dxa"/>
            <w:shd w:val="clear" w:color="auto" w:fill="000000" w:themeFill="text1"/>
          </w:tcPr>
          <w:p w14:paraId="2125202A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Exemplo</w:t>
            </w:r>
          </w:p>
        </w:tc>
      </w:tr>
      <w:tr w:rsidR="008D2B2F" w:rsidRPr="008D2B2F" w14:paraId="4C24B48A" w14:textId="77777777" w:rsidTr="00F97A4E">
        <w:trPr>
          <w:jc w:val="center"/>
        </w:trPr>
        <w:tc>
          <w:tcPr>
            <w:tcW w:w="2585" w:type="dxa"/>
            <w:vAlign w:val="center"/>
          </w:tcPr>
          <w:p w14:paraId="167A2B11" w14:textId="77777777" w:rsidR="008D2B2F" w:rsidRPr="008D2B2F" w:rsidRDefault="0046183B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&lt;&lt;variationPoint&gt;&gt;</w:t>
            </w:r>
          </w:p>
        </w:tc>
        <w:tc>
          <w:tcPr>
            <w:tcW w:w="6722" w:type="dxa"/>
            <w:vAlign w:val="center"/>
          </w:tcPr>
          <w:p w14:paraId="67D2FA5F" w14:textId="77777777" w:rsidR="008D2B2F" w:rsidRPr="008D2B2F" w:rsidRDefault="0046183B" w:rsidP="0046183B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R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epresenta o local em que ocorre uma variabilidade. Um ponto de variação está sempre associado a uma ou mais variantes.</w:t>
            </w:r>
          </w:p>
        </w:tc>
        <w:tc>
          <w:tcPr>
            <w:tcW w:w="1013" w:type="dxa"/>
            <w:vAlign w:val="center"/>
          </w:tcPr>
          <w:p w14:paraId="23DC0E7E" w14:textId="77777777" w:rsidR="008D2B2F" w:rsidRPr="008D2B2F" w:rsidRDefault="00896054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1.</w:t>
            </w:r>
          </w:p>
        </w:tc>
      </w:tr>
      <w:tr w:rsidR="008D2B2F" w:rsidRPr="008D2B2F" w14:paraId="49132FB4" w14:textId="77777777" w:rsidTr="00F97A4E">
        <w:trPr>
          <w:jc w:val="center"/>
        </w:trPr>
        <w:tc>
          <w:tcPr>
            <w:tcW w:w="2585" w:type="dxa"/>
            <w:vAlign w:val="center"/>
          </w:tcPr>
          <w:p w14:paraId="372EF7E3" w14:textId="77777777" w:rsidR="008D2B2F" w:rsidRPr="008D2B2F" w:rsidRDefault="0046183B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color w:val="000000" w:themeColor="text1"/>
                <w:kern w:val="0"/>
                <w:sz w:val="20"/>
                <w:szCs w:val="20"/>
                <w:lang w:val="pt-BR"/>
              </w:rPr>
              <w:t>&lt;&lt;mandatory&gt;&gt;</w:t>
            </w:r>
          </w:p>
        </w:tc>
        <w:tc>
          <w:tcPr>
            <w:tcW w:w="6722" w:type="dxa"/>
            <w:vAlign w:val="center"/>
          </w:tcPr>
          <w:p w14:paraId="1FE88C91" w14:textId="77777777" w:rsidR="008D2B2F" w:rsidRPr="008D2B2F" w:rsidRDefault="0046183B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hAnsi="Verdana" w:cs="TimesNewRomanPSMT"/>
                <w:color w:val="000000" w:themeColor="text1"/>
                <w:kern w:val="0"/>
                <w:sz w:val="20"/>
                <w:szCs w:val="20"/>
                <w:lang w:val="pt-BR"/>
              </w:rPr>
              <w:t>A</w:t>
            </w:r>
            <w:r w:rsidRPr="005559CE">
              <w:rPr>
                <w:rFonts w:ascii="Verdana" w:hAnsi="Verdana" w:cs="TimesNewRomanPSMT"/>
                <w:color w:val="000000" w:themeColor="text1"/>
                <w:kern w:val="0"/>
                <w:sz w:val="20"/>
                <w:szCs w:val="20"/>
                <w:lang w:val="pt-BR"/>
              </w:rPr>
              <w:t xml:space="preserve"> variante estará obrigatoriamente presente na configuração de qualquer produto da linha de produto.</w:t>
            </w:r>
          </w:p>
        </w:tc>
        <w:tc>
          <w:tcPr>
            <w:tcW w:w="1013" w:type="dxa"/>
            <w:vAlign w:val="center"/>
          </w:tcPr>
          <w:p w14:paraId="37656CFE" w14:textId="77777777" w:rsidR="008D2B2F" w:rsidRPr="008D2B2F" w:rsidRDefault="00896054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1.</w:t>
            </w:r>
          </w:p>
        </w:tc>
      </w:tr>
      <w:tr w:rsidR="008D2B2F" w:rsidRPr="008D2B2F" w14:paraId="57D7D464" w14:textId="77777777" w:rsidTr="00F97A4E">
        <w:trPr>
          <w:jc w:val="center"/>
        </w:trPr>
        <w:tc>
          <w:tcPr>
            <w:tcW w:w="2585" w:type="dxa"/>
            <w:vAlign w:val="center"/>
          </w:tcPr>
          <w:p w14:paraId="0019E7A8" w14:textId="77777777" w:rsidR="008D2B2F" w:rsidRPr="008D2B2F" w:rsidRDefault="0046183B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&lt;&lt;optional&gt;&gt;</w:t>
            </w:r>
          </w:p>
        </w:tc>
        <w:tc>
          <w:tcPr>
            <w:tcW w:w="6722" w:type="dxa"/>
            <w:vAlign w:val="center"/>
          </w:tcPr>
          <w:p w14:paraId="7CD8D4A5" w14:textId="77777777" w:rsidR="008D2B2F" w:rsidRPr="008D2B2F" w:rsidRDefault="0046183B" w:rsidP="00F97A4E">
            <w:pPr>
              <w:widowControl/>
              <w:suppressAutoHyphens w:val="0"/>
              <w:autoSpaceDN/>
              <w:spacing w:after="120"/>
              <w:ind w:left="-12" w:firstLine="12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A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 xml:space="preserve"> variante pode ou não estar presente na configuração de um produto da linha de produto. Variantes opcionais também podem ou não estar associadas a um ponto de variação.</w:t>
            </w:r>
          </w:p>
        </w:tc>
        <w:tc>
          <w:tcPr>
            <w:tcW w:w="1013" w:type="dxa"/>
            <w:vAlign w:val="center"/>
          </w:tcPr>
          <w:p w14:paraId="2562BC20" w14:textId="77777777" w:rsidR="008D2B2F" w:rsidRPr="008D2B2F" w:rsidRDefault="00896054" w:rsidP="00896054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2.</w:t>
            </w:r>
          </w:p>
        </w:tc>
      </w:tr>
      <w:tr w:rsidR="008D2B2F" w:rsidRPr="008D2B2F" w14:paraId="4060E6AE" w14:textId="77777777" w:rsidTr="00F97A4E">
        <w:trPr>
          <w:jc w:val="center"/>
        </w:trPr>
        <w:tc>
          <w:tcPr>
            <w:tcW w:w="2585" w:type="dxa"/>
            <w:vAlign w:val="center"/>
          </w:tcPr>
          <w:p w14:paraId="0DFBE616" w14:textId="77777777" w:rsidR="008D2B2F" w:rsidRPr="008D2B2F" w:rsidRDefault="0046183B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eastAsia="OpenSymbol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&lt;&lt;alternative_OR&gt;&gt;</w:t>
            </w:r>
          </w:p>
        </w:tc>
        <w:tc>
          <w:tcPr>
            <w:tcW w:w="6722" w:type="dxa"/>
            <w:vAlign w:val="center"/>
          </w:tcPr>
          <w:p w14:paraId="13B680BC" w14:textId="77777777" w:rsidR="008D2B2F" w:rsidRPr="008D2B2F" w:rsidRDefault="00F97A4E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E</w:t>
            </w:r>
            <w:r w:rsidRPr="005559CE"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stão sempre associadas aos pontos de variação. Pelo menos uma das variantes deverá ser escolhida para resolver o ponto de variação, ou seja, para estar presente na configuração de um produto da linha de produto.</w:t>
            </w:r>
          </w:p>
        </w:tc>
        <w:tc>
          <w:tcPr>
            <w:tcW w:w="1013" w:type="dxa"/>
            <w:vAlign w:val="center"/>
          </w:tcPr>
          <w:p w14:paraId="5B755C40" w14:textId="77777777" w:rsidR="008D2B2F" w:rsidRPr="008D2B2F" w:rsidRDefault="00896054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1.</w:t>
            </w:r>
          </w:p>
        </w:tc>
      </w:tr>
      <w:tr w:rsidR="008D2B2F" w:rsidRPr="008D2B2F" w14:paraId="4F28BEB5" w14:textId="77777777" w:rsidTr="00F97A4E">
        <w:trPr>
          <w:jc w:val="center"/>
        </w:trPr>
        <w:tc>
          <w:tcPr>
            <w:tcW w:w="2585" w:type="dxa"/>
            <w:vAlign w:val="center"/>
          </w:tcPr>
          <w:p w14:paraId="607E7C79" w14:textId="77777777" w:rsidR="008D2B2F" w:rsidRPr="008D2B2F" w:rsidRDefault="0046183B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MT"/>
                <w:b/>
                <w:kern w:val="0"/>
                <w:sz w:val="20"/>
                <w:szCs w:val="20"/>
                <w:lang w:val="pt-BR"/>
              </w:rPr>
              <w:t>&lt;&lt;alternative_XOR&gt;&gt;</w:t>
            </w:r>
          </w:p>
        </w:tc>
        <w:tc>
          <w:tcPr>
            <w:tcW w:w="6722" w:type="dxa"/>
            <w:vAlign w:val="center"/>
          </w:tcPr>
          <w:p w14:paraId="6F7A10EF" w14:textId="77777777" w:rsidR="008D2B2F" w:rsidRPr="008D2B2F" w:rsidRDefault="00F97A4E" w:rsidP="00F97A4E">
            <w:pPr>
              <w:pStyle w:val="PargrafodaLista"/>
              <w:widowControl/>
              <w:suppressAutoHyphens w:val="0"/>
              <w:autoSpaceDE w:val="0"/>
              <w:adjustRightInd w:val="0"/>
              <w:ind w:left="0"/>
              <w:jc w:val="both"/>
              <w:textAlignment w:val="auto"/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</w:pPr>
            <w:r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E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stão sempre associadas aos pontos de variação. Somente uma das variantes deverá ser escolhida para resolver o ponto de variação.</w:t>
            </w:r>
          </w:p>
        </w:tc>
        <w:tc>
          <w:tcPr>
            <w:tcW w:w="1013" w:type="dxa"/>
            <w:vAlign w:val="center"/>
          </w:tcPr>
          <w:p w14:paraId="38E89F01" w14:textId="77777777" w:rsidR="008D2B2F" w:rsidRPr="008D2B2F" w:rsidRDefault="00896054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-</w:t>
            </w:r>
          </w:p>
        </w:tc>
      </w:tr>
      <w:tr w:rsidR="0046183B" w:rsidRPr="008D2B2F" w14:paraId="79F31E02" w14:textId="77777777" w:rsidTr="00F97A4E">
        <w:trPr>
          <w:jc w:val="center"/>
        </w:trPr>
        <w:tc>
          <w:tcPr>
            <w:tcW w:w="2585" w:type="dxa"/>
            <w:vAlign w:val="center"/>
          </w:tcPr>
          <w:p w14:paraId="6928FB52" w14:textId="77777777" w:rsidR="0046183B" w:rsidRPr="008D2B2F" w:rsidRDefault="0046183B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="Verdana" w:eastAsiaTheme="minorHAnsi" w:hAnsi="Verdana" w:cstheme="minorBidi"/>
                <w:b/>
                <w:i/>
                <w:color w:val="000000" w:themeColor="text1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&lt;&lt;variability&gt;&gt;</w:t>
            </w:r>
          </w:p>
        </w:tc>
        <w:tc>
          <w:tcPr>
            <w:tcW w:w="6722" w:type="dxa"/>
            <w:vAlign w:val="center"/>
          </w:tcPr>
          <w:p w14:paraId="643E6343" w14:textId="77777777" w:rsidR="0046183B" w:rsidRPr="008D2B2F" w:rsidRDefault="00F97A4E" w:rsidP="00F97A4E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="Verdana" w:eastAsiaTheme="minorHAnsi" w:hAnsi="Verdana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I</w:t>
            </w:r>
            <w:r w:rsidRPr="00F97A4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ndica uma variabilidade existente em um modelo UML.</w:t>
            </w:r>
          </w:p>
        </w:tc>
        <w:tc>
          <w:tcPr>
            <w:tcW w:w="1013" w:type="dxa"/>
            <w:vAlign w:val="center"/>
          </w:tcPr>
          <w:p w14:paraId="4872DF73" w14:textId="71E349C7" w:rsidR="0046183B" w:rsidRPr="008D2B2F" w:rsidRDefault="00896054" w:rsidP="003B5D5B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  <w:r w:rsidR="003B5D5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 xml:space="preserve"> e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 xml:space="preserve"> 2.</w:t>
            </w:r>
          </w:p>
        </w:tc>
      </w:tr>
      <w:tr w:rsidR="0046183B" w:rsidRPr="008D2B2F" w14:paraId="6B3F3FE8" w14:textId="77777777" w:rsidTr="00F97A4E">
        <w:trPr>
          <w:jc w:val="center"/>
        </w:trPr>
        <w:tc>
          <w:tcPr>
            <w:tcW w:w="2585" w:type="dxa"/>
            <w:vAlign w:val="center"/>
          </w:tcPr>
          <w:p w14:paraId="7ED32DC1" w14:textId="77777777" w:rsidR="0046183B" w:rsidRPr="008D2B2F" w:rsidRDefault="0046183B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="Verdana" w:eastAsiaTheme="minorHAnsi" w:hAnsi="Verdana" w:cstheme="minorBidi"/>
                <w:b/>
                <w:i/>
                <w:color w:val="000000" w:themeColor="text1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eastAsia="OpenSymbol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&lt;&lt;requires&gt;&gt;</w:t>
            </w:r>
          </w:p>
        </w:tc>
        <w:tc>
          <w:tcPr>
            <w:tcW w:w="6722" w:type="dxa"/>
            <w:vAlign w:val="center"/>
          </w:tcPr>
          <w:p w14:paraId="068F4F36" w14:textId="77777777" w:rsidR="0046183B" w:rsidRPr="00F97A4E" w:rsidRDefault="00F97A4E" w:rsidP="00F97A4E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</w:pPr>
            <w:r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I</w:t>
            </w:r>
            <w:r w:rsidRPr="00F97A4E"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ndica um relacionamento de dependência (em UML) entre variantes no qual a variante dependente (origem da dependência) só existirá em uma configuração se a variante relacionada (destino da dependência) existir.</w:t>
            </w:r>
          </w:p>
        </w:tc>
        <w:tc>
          <w:tcPr>
            <w:tcW w:w="1013" w:type="dxa"/>
            <w:vAlign w:val="center"/>
          </w:tcPr>
          <w:p w14:paraId="42DE751A" w14:textId="4BAE0F7D" w:rsidR="0046183B" w:rsidRPr="008D2B2F" w:rsidRDefault="00C8470F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-</w:t>
            </w:r>
          </w:p>
        </w:tc>
      </w:tr>
      <w:tr w:rsidR="0046183B" w:rsidRPr="008D2B2F" w14:paraId="749A3E49" w14:textId="77777777" w:rsidTr="00F97A4E">
        <w:trPr>
          <w:jc w:val="center"/>
        </w:trPr>
        <w:tc>
          <w:tcPr>
            <w:tcW w:w="2585" w:type="dxa"/>
            <w:vAlign w:val="center"/>
          </w:tcPr>
          <w:p w14:paraId="7483A2D6" w14:textId="77777777" w:rsidR="0046183B" w:rsidRPr="008D2B2F" w:rsidRDefault="0046183B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="Verdana" w:eastAsiaTheme="minorHAnsi" w:hAnsi="Verdana" w:cstheme="minorBidi"/>
                <w:b/>
                <w:i/>
                <w:color w:val="000000" w:themeColor="text1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eastAsia="OpenSymbol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&lt;&lt;mutex&gt;&gt;</w:t>
            </w:r>
          </w:p>
        </w:tc>
        <w:tc>
          <w:tcPr>
            <w:tcW w:w="6722" w:type="dxa"/>
            <w:vAlign w:val="center"/>
          </w:tcPr>
          <w:p w14:paraId="790AD9CF" w14:textId="77777777" w:rsidR="0046183B" w:rsidRPr="008D2B2F" w:rsidRDefault="00F97A4E" w:rsidP="00D128EB">
            <w:pPr>
              <w:widowControl/>
              <w:suppressAutoHyphens w:val="0"/>
              <w:autoSpaceDN/>
              <w:spacing w:after="120"/>
              <w:textAlignment w:val="auto"/>
              <w:rPr>
                <w:rFonts w:ascii="Verdana" w:eastAsiaTheme="minorHAnsi" w:hAnsi="Verdana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I</w:t>
            </w:r>
            <w:r w:rsidRPr="005559CE"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ndica um relacionamento de dependência (em UML) entre variantes no qual a variante dependente (origem da dependência) só existirá em uma configuração se a variante relacionada (destino da dependência) obrigatoriamente não existir. São conhecidas como variantes mutuamente exclusivas.</w:t>
            </w:r>
          </w:p>
        </w:tc>
        <w:tc>
          <w:tcPr>
            <w:tcW w:w="1013" w:type="dxa"/>
            <w:vAlign w:val="center"/>
          </w:tcPr>
          <w:p w14:paraId="3052D3F5" w14:textId="77777777" w:rsidR="0046183B" w:rsidRPr="008D2B2F" w:rsidRDefault="00896054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-</w:t>
            </w:r>
          </w:p>
        </w:tc>
      </w:tr>
    </w:tbl>
    <w:p w14:paraId="5C546004" w14:textId="12444036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p w14:paraId="2BF47011" w14:textId="77777777" w:rsidR="008D2B2F" w:rsidRDefault="008D2B2F" w:rsidP="008D2B2F">
      <w:pPr>
        <w:pStyle w:val="Standard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lastRenderedPageBreak/>
        <w:t>II.1 Exemplos</w:t>
      </w:r>
      <w:r w:rsidR="00F97A4E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14:paraId="5B7C0441" w14:textId="77777777" w:rsidR="00234C72" w:rsidRDefault="00234C72" w:rsidP="008D2B2F">
      <w:pPr>
        <w:rPr>
          <w:rFonts w:ascii="Verdana" w:hAnsi="Verdana"/>
          <w:b/>
          <w:i/>
          <w:sz w:val="22"/>
          <w:szCs w:val="22"/>
          <w:lang w:val="pt-BR"/>
        </w:rPr>
      </w:pPr>
    </w:p>
    <w:p w14:paraId="3FBC27C7" w14:textId="77777777" w:rsidR="005B52C0" w:rsidRPr="00F97A4E" w:rsidRDefault="005B52C0" w:rsidP="008D2B2F">
      <w:pPr>
        <w:rPr>
          <w:rFonts w:ascii="Verdana" w:hAnsi="Verdana"/>
          <w:color w:val="000000"/>
          <w:sz w:val="22"/>
          <w:szCs w:val="22"/>
          <w:lang w:val="pt-BR"/>
        </w:rPr>
      </w:pPr>
      <w:r>
        <w:rPr>
          <w:rFonts w:ascii="Verdana" w:hAnsi="Verdana"/>
          <w:b/>
          <w:i/>
          <w:sz w:val="22"/>
          <w:szCs w:val="22"/>
          <w:lang w:val="pt-BR"/>
        </w:rPr>
        <w:t>Casos de Uso</w:t>
      </w:r>
    </w:p>
    <w:p w14:paraId="304EC1EE" w14:textId="77777777" w:rsidR="008D2B2F" w:rsidRDefault="00F97A4E" w:rsidP="008D2B2F">
      <w:pPr>
        <w:spacing w:after="120"/>
        <w:ind w:firstLine="709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 w:cs="TimesNewRomanPSMT"/>
          <w:noProof/>
          <w:kern w:val="0"/>
          <w:sz w:val="22"/>
          <w:szCs w:val="22"/>
          <w:lang w:val="pt-BR"/>
        </w:rPr>
        <w:drawing>
          <wp:inline distT="0" distB="0" distL="0" distR="0" wp14:anchorId="4A099CE9" wp14:editId="5D5114ED">
            <wp:extent cx="6079781" cy="5043488"/>
            <wp:effectExtent l="0" t="0" r="0" b="508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975" cy="5044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2899F" w14:textId="5C6E4874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1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Exemplo d</w:t>
      </w:r>
      <w:r w:rsidR="00375C1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e Diagrama de Casos de Uso com a Abordagem </w:t>
      </w:r>
      <w:r w:rsidR="00F97A4E">
        <w:rPr>
          <w:rFonts w:ascii="Verdana" w:hAnsi="Verdana"/>
          <w:color w:val="000000" w:themeColor="text1"/>
          <w:sz w:val="18"/>
          <w:szCs w:val="18"/>
          <w:lang w:val="pt-BR"/>
        </w:rPr>
        <w:t>Y</w:t>
      </w:r>
      <w:r w:rsidR="001D1568">
        <w:rPr>
          <w:rFonts w:ascii="Verdana" w:hAnsi="Verdana"/>
          <w:color w:val="000000" w:themeColor="text1"/>
          <w:sz w:val="18"/>
          <w:szCs w:val="18"/>
          <w:lang w:val="pt-BR"/>
        </w:rPr>
        <w:t>.</w:t>
      </w:r>
    </w:p>
    <w:p w14:paraId="3D168183" w14:textId="77777777" w:rsidR="00F97A4E" w:rsidRDefault="00F97A4E" w:rsidP="00F97A4E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Na Figura 1 observamos a aplicação da abordagem Y, e seus elementos. Passamos a analisar cada um deles, bem como as diretrizes presentes no processo da abordagem Y, que auxiliam sua utilização em outras LPs:</w:t>
      </w:r>
    </w:p>
    <w:p w14:paraId="237355E2" w14:textId="589F1404" w:rsidR="00F97A4E" w:rsidRDefault="00F97A4E" w:rsidP="00F97A4E">
      <w:pPr>
        <w:spacing w:after="120"/>
        <w:ind w:firstLine="567"/>
        <w:jc w:val="both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O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caso de uso </w:t>
      </w:r>
      <w:r w:rsidRPr="005559CE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Ordenar Elementos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é obrigatório 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mandatory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 e também é um ponto de variação 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variationPoint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&gt;&gt;. Temos também dois casos de uso 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alternative_OR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&gt;&gt; que são variantes do ponto de variação </w:t>
      </w:r>
      <w:r w:rsidRPr="005559CE">
        <w:rPr>
          <w:rFonts w:ascii="Verdana" w:hAnsi="Verdana" w:cs="TimesNewRomanPSMT"/>
          <w:b/>
          <w:kern w:val="0"/>
          <w:sz w:val="20"/>
          <w:szCs w:val="20"/>
          <w:lang w:val="pt-BR"/>
        </w:rPr>
        <w:t>Ordenar Elementos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. O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que é facilmente notado </w:t>
      </w:r>
      <w:r w:rsidR="00A3631F">
        <w:rPr>
          <w:rFonts w:ascii="Verdana" w:hAnsi="Verdana" w:cs="TimesNewRomanPSMT"/>
          <w:kern w:val="0"/>
          <w:sz w:val="20"/>
          <w:szCs w:val="20"/>
          <w:lang w:val="pt-BR"/>
        </w:rPr>
        <w:t>por meio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do item </w:t>
      </w:r>
      <w:r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variants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da nota da variabilidade de nome “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sort elements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”.</w:t>
      </w:r>
    </w:p>
    <w:p w14:paraId="1AB28A08" w14:textId="5729754E" w:rsidR="00F97A4E" w:rsidRPr="005559CE" w:rsidRDefault="00F97A4E" w:rsidP="00F97A4E">
      <w:pPr>
        <w:spacing w:after="120"/>
        <w:ind w:firstLine="567"/>
        <w:jc w:val="both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As variabilidades são identificadas através de notas UML, estereotipada com 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variability&gt;&gt;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.  Nesta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s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nota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s</w:t>
      </w:r>
      <w:r w:rsidR="00F226D8">
        <w:rPr>
          <w:rFonts w:ascii="Verdana" w:hAnsi="Verdana" w:cs="TimesNewRomanPSMT"/>
          <w:kern w:val="0"/>
          <w:sz w:val="20"/>
          <w:szCs w:val="20"/>
          <w:lang w:val="pt-BR"/>
        </w:rPr>
        <w:t xml:space="preserve"> estão contido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s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os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meta-atributos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que seguem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:</w:t>
      </w:r>
    </w:p>
    <w:p w14:paraId="4E6620F5" w14:textId="77777777" w:rsidR="00F97A4E" w:rsidRPr="005559CE" w:rsidRDefault="00F97A4E" w:rsidP="00F97A4E">
      <w:pPr>
        <w:pStyle w:val="PargrafodaLista"/>
        <w:widowControl/>
        <w:numPr>
          <w:ilvl w:val="0"/>
          <w:numId w:val="3"/>
        </w:numPr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Name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: nome da variabilidade;</w:t>
      </w:r>
    </w:p>
    <w:p w14:paraId="3F0B3EDB" w14:textId="77777777" w:rsidR="00F97A4E" w:rsidRPr="005559CE" w:rsidRDefault="00F97A4E" w:rsidP="00F97A4E">
      <w:pPr>
        <w:pStyle w:val="PargrafodaLista"/>
        <w:widowControl/>
        <w:numPr>
          <w:ilvl w:val="0"/>
          <w:numId w:val="3"/>
        </w:numPr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minSelection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: a quantidade mínima de variantes a serem selecionadas;</w:t>
      </w:r>
    </w:p>
    <w:p w14:paraId="2D7727F5" w14:textId="77777777" w:rsidR="00F97A4E" w:rsidRPr="005559CE" w:rsidRDefault="00F97A4E" w:rsidP="00F97A4E">
      <w:pPr>
        <w:pStyle w:val="PargrafodaLista"/>
        <w:widowControl/>
        <w:numPr>
          <w:ilvl w:val="0"/>
          <w:numId w:val="3"/>
        </w:numPr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maxSelection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: a quantidade máxima de variantes a serem selecionadas;</w:t>
      </w:r>
    </w:p>
    <w:p w14:paraId="4F44B805" w14:textId="77777777" w:rsidR="00F97A4E" w:rsidRPr="005559CE" w:rsidRDefault="00F97A4E" w:rsidP="00F97A4E">
      <w:pPr>
        <w:pStyle w:val="PargrafodaLista"/>
        <w:widowControl/>
        <w:numPr>
          <w:ilvl w:val="0"/>
          <w:numId w:val="3"/>
        </w:numPr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bindingTime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: em qual momento será resolvida esta variabilidade ;</w:t>
      </w:r>
    </w:p>
    <w:p w14:paraId="1A5485BD" w14:textId="02B7C14F" w:rsidR="00F97A4E" w:rsidRPr="005559CE" w:rsidRDefault="00F97A4E" w:rsidP="00F97A4E">
      <w:pPr>
        <w:pStyle w:val="PargrafodaLista"/>
        <w:widowControl/>
        <w:numPr>
          <w:ilvl w:val="0"/>
          <w:numId w:val="3"/>
        </w:numPr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allowsAddingVar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: se permite incluir novas variantes para resolver o ponto de variação;</w:t>
      </w:r>
      <w:r w:rsidR="00300126">
        <w:rPr>
          <w:rFonts w:ascii="Verdana" w:hAnsi="Verdana" w:cs="TimesNewRomanPSMT"/>
          <w:kern w:val="0"/>
          <w:sz w:val="20"/>
          <w:szCs w:val="20"/>
          <w:lang w:val="pt-BR"/>
        </w:rPr>
        <w:t xml:space="preserve"> e</w:t>
      </w:r>
    </w:p>
    <w:p w14:paraId="379B690B" w14:textId="174665B0" w:rsidR="00F97A4E" w:rsidRPr="005559CE" w:rsidRDefault="00F97A4E" w:rsidP="00F97A4E">
      <w:pPr>
        <w:pStyle w:val="PargrafodaLista"/>
        <w:widowControl/>
        <w:numPr>
          <w:ilvl w:val="0"/>
          <w:numId w:val="3"/>
        </w:numPr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lastRenderedPageBreak/>
        <w:t>variants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: quais as variantes para resolver o ponto de variação (casos de uso </w:t>
      </w:r>
      <w:r w:rsidR="00300126">
        <w:rPr>
          <w:rFonts w:ascii="Verdana" w:hAnsi="Verdana" w:cs="TimesNewRomanPSMT"/>
          <w:kern w:val="0"/>
          <w:sz w:val="20"/>
          <w:szCs w:val="20"/>
          <w:lang w:val="pt-BR"/>
        </w:rPr>
        <w:t>ligados ao ponto de variação).</w:t>
      </w:r>
    </w:p>
    <w:p w14:paraId="53FAAA39" w14:textId="54AC0B68" w:rsidR="00F97A4E" w:rsidRPr="005559CE" w:rsidRDefault="00F97A4E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Estas notas são inseridas em todas as </w:t>
      </w:r>
      <w:r w:rsidR="002979D6">
        <w:rPr>
          <w:rFonts w:ascii="Verdana" w:hAnsi="Verdana" w:cs="TimesNewRomanPSMT"/>
          <w:kern w:val="0"/>
          <w:sz w:val="20"/>
          <w:szCs w:val="20"/>
          <w:lang w:val="pt-BR"/>
        </w:rPr>
        <w:t xml:space="preserve">variabilidades em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caso de uso.</w:t>
      </w:r>
    </w:p>
    <w:p w14:paraId="526127BE" w14:textId="77777777" w:rsidR="005E11C6" w:rsidRDefault="005E11C6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743E9876" w14:textId="3E61CAC2" w:rsidR="00F97A4E" w:rsidRPr="005559CE" w:rsidRDefault="005E11C6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E11C6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Diretrizes para </w:t>
      </w:r>
      <w:r w:rsidR="00800F27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Identificação e Representação de </w:t>
      </w:r>
      <w:r w:rsidRPr="005E11C6">
        <w:rPr>
          <w:rFonts w:ascii="Verdana" w:hAnsi="Verdana" w:cs="TimesNewRomanPSMT"/>
          <w:b/>
          <w:kern w:val="0"/>
          <w:sz w:val="20"/>
          <w:szCs w:val="20"/>
          <w:lang w:val="pt-BR"/>
        </w:rPr>
        <w:t>Variabilidade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- 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Para a criação e classificação </w:t>
      </w:r>
      <w:r w:rsidR="00F97A4E">
        <w:rPr>
          <w:rFonts w:ascii="Verdana" w:hAnsi="Verdana" w:cs="TimesNewRomanPSMT"/>
          <w:kern w:val="0"/>
          <w:sz w:val="20"/>
          <w:szCs w:val="20"/>
          <w:lang w:val="pt-BR"/>
        </w:rPr>
        <w:t>de variabilidades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>, as seguintes diretrizes presentes no processo da abordagem, sugerem ser seguidas:</w:t>
      </w:r>
    </w:p>
    <w:p w14:paraId="206BCB0C" w14:textId="77777777" w:rsidR="00F97A4E" w:rsidRPr="005559CE" w:rsidRDefault="00F97A4E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62595FA7" w14:textId="5A80BC4D" w:rsidR="00F97A4E" w:rsidRPr="005559CE" w:rsidRDefault="00D2534A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VR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.1 Variabilidades com variantes opcionais possuem multiplicidade </w:t>
      </w:r>
      <w:r w:rsidR="00F97A4E"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minSelection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F97A4E"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 xml:space="preserve">= 0 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e </w:t>
      </w:r>
      <w:r w:rsidR="00F97A4E"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maxSelection = 1NI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>;</w:t>
      </w:r>
    </w:p>
    <w:p w14:paraId="19B770C6" w14:textId="3B95F06E" w:rsidR="00F97A4E" w:rsidRPr="005559CE" w:rsidRDefault="00D2534A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VR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.2 Variabilidades com variantes exclusivas possuem multiplicidade </w:t>
      </w:r>
      <w:r w:rsidR="00F97A4E"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minSelection = max-Selection = 1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>;</w:t>
      </w:r>
    </w:p>
    <w:p w14:paraId="2D6E0D02" w14:textId="7FFE34F6" w:rsidR="00F97A4E" w:rsidRPr="005559CE" w:rsidRDefault="00D2534A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VR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.3 Variabilidades com variantes inclusivas possuem multiplicidade </w:t>
      </w:r>
      <w:r w:rsidR="00F97A4E"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 xml:space="preserve">minSelection = 1 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e </w:t>
      </w:r>
      <w:r w:rsidR="00F97A4E"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maxSelection = size(variants)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em que </w:t>
      </w:r>
      <w:r w:rsidR="00F97A4E"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size(x)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é uma função que retorna a quantidade de elementos dacoleção </w:t>
      </w:r>
      <w:r w:rsidR="00F97A4E"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x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>;</w:t>
      </w:r>
    </w:p>
    <w:p w14:paraId="71F5DE97" w14:textId="6A48C75E" w:rsidR="00F97A4E" w:rsidRPr="005559CE" w:rsidRDefault="00D2534A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VR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.4 O valor </w:t>
      </w:r>
      <w:r w:rsidR="00F97A4E"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bindingTime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deve ser definido escolhendo-se um dos valores da classe de enumeração </w:t>
      </w:r>
      <w:r w:rsidR="00F97A4E"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BindingTime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>, que são: DESIGN_TIME, LINK_TIME, COMPLE_TIME, RUNTIME;</w:t>
      </w:r>
    </w:p>
    <w:p w14:paraId="00693108" w14:textId="1C7B0A81" w:rsidR="00F97A4E" w:rsidRPr="005559CE" w:rsidRDefault="00D2534A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noProof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noProof/>
          <w:kern w:val="0"/>
          <w:sz w:val="20"/>
          <w:szCs w:val="20"/>
          <w:lang w:val="pt-BR"/>
        </w:rPr>
        <w:t>VR</w:t>
      </w:r>
      <w:r w:rsidR="00F97A4E" w:rsidRPr="005559CE">
        <w:rPr>
          <w:rFonts w:ascii="Verdana" w:hAnsi="Verdana" w:cs="TimesNewRomanPSMT"/>
          <w:noProof/>
          <w:kern w:val="0"/>
          <w:sz w:val="20"/>
          <w:szCs w:val="20"/>
          <w:lang w:val="pt-BR"/>
        </w:rPr>
        <w:t xml:space="preserve">.5 O valor </w:t>
      </w:r>
      <w:r w:rsidR="00F97A4E" w:rsidRPr="005559CE">
        <w:rPr>
          <w:rFonts w:ascii="Verdana" w:hAnsi="Verdana" w:cs="TimesNewRomanPSMT"/>
          <w:i/>
          <w:noProof/>
          <w:kern w:val="0"/>
          <w:sz w:val="20"/>
          <w:szCs w:val="20"/>
          <w:lang w:val="pt-BR"/>
        </w:rPr>
        <w:t>boobleano</w:t>
      </w:r>
      <w:r w:rsidR="00F97A4E" w:rsidRPr="005559CE">
        <w:rPr>
          <w:rFonts w:ascii="Verdana" w:hAnsi="Verdana" w:cs="TimesNewRomanPSMT"/>
          <w:noProof/>
          <w:kern w:val="0"/>
          <w:sz w:val="20"/>
          <w:szCs w:val="20"/>
          <w:lang w:val="pt-BR"/>
        </w:rPr>
        <w:t xml:space="preserve"> do atributo </w:t>
      </w:r>
      <w:r w:rsidR="00F97A4E" w:rsidRPr="005559CE">
        <w:rPr>
          <w:rFonts w:ascii="Verdana" w:hAnsi="Verdana" w:cs="TimesNewRomanPSMT"/>
          <w:b/>
          <w:i/>
          <w:noProof/>
          <w:kern w:val="0"/>
          <w:sz w:val="20"/>
          <w:szCs w:val="20"/>
          <w:lang w:val="pt-BR"/>
        </w:rPr>
        <w:t>allowsAddingVar</w:t>
      </w:r>
      <w:r w:rsidR="00F97A4E" w:rsidRPr="005559CE">
        <w:rPr>
          <w:rFonts w:ascii="Verdana" w:hAnsi="Verdana" w:cs="TimesNewRomanPSMT"/>
          <w:noProof/>
          <w:kern w:val="0"/>
          <w:sz w:val="20"/>
          <w:szCs w:val="20"/>
          <w:lang w:val="pt-BR"/>
        </w:rPr>
        <w:t xml:space="preserve"> deve ser analisado de acordo com a possibilidade de manter o ponto de variação aberto (</w:t>
      </w:r>
      <w:r w:rsidR="00F97A4E" w:rsidRPr="005559CE">
        <w:rPr>
          <w:rFonts w:ascii="Verdana" w:hAnsi="Verdana" w:cs="TimesNewRomanPSMT"/>
          <w:i/>
          <w:noProof/>
          <w:kern w:val="0"/>
          <w:sz w:val="20"/>
          <w:szCs w:val="20"/>
          <w:lang w:val="pt-BR"/>
        </w:rPr>
        <w:t>true</w:t>
      </w:r>
      <w:r w:rsidR="00F97A4E" w:rsidRPr="005559CE">
        <w:rPr>
          <w:rFonts w:ascii="Verdana" w:hAnsi="Verdana" w:cs="TimesNewRomanPSMT"/>
          <w:noProof/>
          <w:kern w:val="0"/>
          <w:sz w:val="20"/>
          <w:szCs w:val="20"/>
          <w:lang w:val="pt-BR"/>
        </w:rPr>
        <w:t>) ou fechado (</w:t>
      </w:r>
      <w:r w:rsidR="00F97A4E" w:rsidRPr="005559CE">
        <w:rPr>
          <w:rFonts w:ascii="Verdana" w:hAnsi="Verdana" w:cs="TimesNewRomanPSMT"/>
          <w:i/>
          <w:noProof/>
          <w:kern w:val="0"/>
          <w:sz w:val="20"/>
          <w:szCs w:val="20"/>
          <w:lang w:val="pt-BR"/>
        </w:rPr>
        <w:t>false</w:t>
      </w:r>
      <w:r w:rsidR="00F97A4E" w:rsidRPr="005559CE">
        <w:rPr>
          <w:rFonts w:ascii="Verdana" w:hAnsi="Verdana" w:cs="TimesNewRomanPSMT"/>
          <w:noProof/>
          <w:kern w:val="0"/>
          <w:sz w:val="20"/>
          <w:szCs w:val="20"/>
          <w:lang w:val="pt-BR"/>
        </w:rPr>
        <w:t>); e</w:t>
      </w:r>
    </w:p>
    <w:p w14:paraId="5E8AC237" w14:textId="007F04FD" w:rsidR="00F97A4E" w:rsidRPr="005559CE" w:rsidRDefault="00D2534A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noProof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noProof/>
          <w:kern w:val="0"/>
          <w:sz w:val="20"/>
          <w:szCs w:val="20"/>
          <w:lang w:val="pt-BR"/>
        </w:rPr>
        <w:t>VR</w:t>
      </w:r>
      <w:r w:rsidR="00F97A4E" w:rsidRPr="005559CE">
        <w:rPr>
          <w:rFonts w:ascii="Verdana" w:hAnsi="Verdana" w:cs="TimesNewRomanPSMT"/>
          <w:noProof/>
          <w:kern w:val="0"/>
          <w:sz w:val="20"/>
          <w:szCs w:val="20"/>
          <w:lang w:val="pt-BR"/>
        </w:rPr>
        <w:t xml:space="preserve">.6 O valor da coleção </w:t>
      </w:r>
      <w:r w:rsidR="00F97A4E" w:rsidRPr="005559CE">
        <w:rPr>
          <w:rFonts w:ascii="Verdana" w:hAnsi="Verdana" w:cs="TimesNewRomanPSMT"/>
          <w:b/>
          <w:i/>
          <w:noProof/>
          <w:kern w:val="0"/>
          <w:sz w:val="20"/>
          <w:szCs w:val="20"/>
          <w:lang w:val="pt-BR"/>
        </w:rPr>
        <w:t>variants</w:t>
      </w:r>
      <w:r w:rsidR="00F97A4E" w:rsidRPr="005559CE">
        <w:rPr>
          <w:rFonts w:ascii="Verdana" w:hAnsi="Verdana" w:cs="TimesNewRomanPSMT"/>
          <w:noProof/>
          <w:kern w:val="0"/>
          <w:sz w:val="20"/>
          <w:szCs w:val="20"/>
          <w:lang w:val="pt-BR"/>
        </w:rPr>
        <w:t xml:space="preserve"> é o conjunto formado pelas instâncias das variantes associadas ao ponto de variação ou variabilidade.</w:t>
      </w:r>
    </w:p>
    <w:p w14:paraId="0C49AEAC" w14:textId="77777777" w:rsidR="005E11C6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01BEB390" w14:textId="77777777" w:rsidR="005E11C6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E11C6">
        <w:rPr>
          <w:rFonts w:ascii="Verdana" w:hAnsi="Verdana" w:cs="TimesNewRomanPSMT"/>
          <w:b/>
          <w:kern w:val="0"/>
          <w:sz w:val="20"/>
          <w:szCs w:val="20"/>
          <w:lang w:val="pt-BR"/>
        </w:rPr>
        <w:t>Diretrizes para Casos de Uso -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As diretrizes especificadas para auxiliar na identificação das variabilidades em </w:t>
      </w:r>
      <w:r w:rsidRPr="005E11C6">
        <w:rPr>
          <w:rFonts w:ascii="Verdana" w:hAnsi="Verdana" w:cs="TimesNewRomanPSMT"/>
          <w:kern w:val="0"/>
          <w:sz w:val="20"/>
          <w:szCs w:val="20"/>
          <w:lang w:val="pt-BR"/>
        </w:rPr>
        <w:t>casos de uso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são expressas abaixo:</w:t>
      </w:r>
    </w:p>
    <w:p w14:paraId="0BFB3BD6" w14:textId="77777777" w:rsidR="005E11C6" w:rsidRPr="005559CE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40332DC7" w14:textId="2618EC5D" w:rsidR="005E11C6" w:rsidRPr="005559CE" w:rsidRDefault="00D2534A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UC.</w:t>
      </w:r>
      <w:r w:rsidR="005E11C6" w:rsidRPr="005559CE">
        <w:rPr>
          <w:rFonts w:ascii="Verdana" w:hAnsi="Verdana" w:cs="TimesNewRomanPSMT"/>
          <w:kern w:val="0"/>
          <w:sz w:val="20"/>
          <w:szCs w:val="20"/>
          <w:lang w:val="pt-BR"/>
        </w:rPr>
        <w:t>1 Elementos de modelos de casos de uso relacionados aos mecanismos de extensão e de pontos de extensão sugerem pontos de variação com variantes associadas, as quais podem ser inclusivas ou exclusiva;</w:t>
      </w:r>
    </w:p>
    <w:p w14:paraId="066FFC23" w14:textId="48715261" w:rsidR="005E11C6" w:rsidRPr="005559CE" w:rsidRDefault="00D2534A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UC</w:t>
      </w:r>
      <w:r w:rsidR="005E11C6" w:rsidRPr="005559CE">
        <w:rPr>
          <w:rFonts w:ascii="Verdana" w:hAnsi="Verdana" w:cs="TimesNewRomanPSMT"/>
          <w:kern w:val="0"/>
          <w:sz w:val="20"/>
          <w:szCs w:val="20"/>
          <w:lang w:val="pt-BR"/>
        </w:rPr>
        <w:t>.3 Em modelos de caso de uso relacionadas com a associação de inclusão (&lt;&lt;</w:t>
      </w:r>
      <w:r w:rsidR="005E11C6"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include</w:t>
      </w:r>
      <w:r w:rsidR="005E11C6"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&gt;&gt;) ou associados a atores sugerem variantes obrigatórias ou opcionais;</w:t>
      </w:r>
    </w:p>
    <w:p w14:paraId="11286E89" w14:textId="407DE04F" w:rsidR="005E11C6" w:rsidRPr="005559CE" w:rsidRDefault="00D2534A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UC</w:t>
      </w:r>
      <w:r w:rsidR="005E11C6" w:rsidRPr="005559CE">
        <w:rPr>
          <w:rFonts w:ascii="Verdana" w:hAnsi="Verdana" w:cs="TimesNewRomanPSMT"/>
          <w:kern w:val="0"/>
          <w:sz w:val="20"/>
          <w:szCs w:val="20"/>
          <w:lang w:val="pt-BR"/>
        </w:rPr>
        <w:t>.5 Variantes que, ao serem selecionadas para fazer parte de um produto, exigem a presença de outra(s) determinada(s) variante(s) devem ter seus relacionamentos de dependência marcados com o estereótipo &lt;&lt;</w:t>
      </w:r>
      <w:r w:rsidR="005E11C6"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requires</w:t>
      </w:r>
      <w:r w:rsidR="005E11C6"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 w:rsidR="00C8470F">
        <w:rPr>
          <w:rFonts w:ascii="Verdana" w:hAnsi="Verdana" w:cs="TimesNewRomanPSMT"/>
          <w:kern w:val="0"/>
          <w:sz w:val="20"/>
          <w:szCs w:val="20"/>
          <w:lang w:val="pt-BR"/>
        </w:rPr>
        <w:t>;</w:t>
      </w:r>
    </w:p>
    <w:p w14:paraId="57252A80" w14:textId="72E9EB33" w:rsidR="005E11C6" w:rsidRDefault="00D2534A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UC</w:t>
      </w:r>
      <w:r w:rsidR="005E11C6" w:rsidRPr="005559CE">
        <w:rPr>
          <w:rFonts w:ascii="Verdana" w:hAnsi="Verdana" w:cs="TimesNewRomanPSMT"/>
          <w:kern w:val="0"/>
          <w:sz w:val="20"/>
          <w:szCs w:val="20"/>
          <w:lang w:val="pt-BR"/>
        </w:rPr>
        <w:t>.6 Variantes mutuamente exclusivas para um determinado produto devem ter seus relacionamentos de dependência marcados com o estereótipo &lt;&lt;</w:t>
      </w:r>
      <w:r w:rsidR="005E11C6"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mutex</w:t>
      </w:r>
      <w:r w:rsidR="005E11C6">
        <w:rPr>
          <w:rFonts w:ascii="Verdana" w:hAnsi="Verdana" w:cs="TimesNewRomanPSMT"/>
          <w:kern w:val="0"/>
          <w:sz w:val="20"/>
          <w:szCs w:val="20"/>
          <w:lang w:val="pt-BR"/>
        </w:rPr>
        <w:t>&gt;&gt;.</w:t>
      </w:r>
    </w:p>
    <w:p w14:paraId="47DC5B33" w14:textId="77777777" w:rsidR="005E11C6" w:rsidRPr="005559CE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6BA3802D" w14:textId="6D30FD36" w:rsidR="005E11C6" w:rsidRDefault="00C8470F" w:rsidP="003F7F19">
      <w:pPr>
        <w:spacing w:after="120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drawing>
          <wp:inline distT="0" distB="0" distL="0" distR="0" wp14:anchorId="6E29E6EC" wp14:editId="3ED0D966">
            <wp:extent cx="2529840" cy="1699260"/>
            <wp:effectExtent l="0" t="0" r="381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93794" w14:textId="77777777" w:rsidR="005E11C6" w:rsidRDefault="005E11C6" w:rsidP="005E11C6">
      <w:pPr>
        <w:spacing w:after="120"/>
        <w:jc w:val="center"/>
        <w:rPr>
          <w:rFonts w:ascii="Verdana" w:hAnsi="Verdana"/>
          <w:color w:val="000000" w:themeColor="text1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2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 xml:space="preserve"> Exemplo de Identificação de Variabilidade em Casos de Uso</w:t>
      </w:r>
    </w:p>
    <w:p w14:paraId="5ED90A90" w14:textId="77777777" w:rsidR="005E11C6" w:rsidRDefault="005E11C6" w:rsidP="00F97A4E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</w:p>
    <w:p w14:paraId="47772D26" w14:textId="31B91957" w:rsidR="005E11C6" w:rsidRPr="005559CE" w:rsidRDefault="005E11C6" w:rsidP="005E11C6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Na Figura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2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, que representa fragmento de um caso de uso, notamos que a variabilidade pode ser definida em um caso de uso único, como é o caso da variabilidade chamada 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“</w:t>
      </w:r>
      <w:r w:rsidR="00C8470F">
        <w:rPr>
          <w:rFonts w:ascii="Verdana" w:hAnsi="Verdana" w:cs="TimesNewRomanPSMT"/>
          <w:i/>
          <w:kern w:val="0"/>
          <w:sz w:val="20"/>
          <w:szCs w:val="20"/>
          <w:lang w:val="pt-BR"/>
        </w:rPr>
        <w:t>saque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 xml:space="preserve">”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identificada </w:t>
      </w:r>
      <w:r w:rsidR="00335EC1">
        <w:rPr>
          <w:rFonts w:ascii="Verdana" w:hAnsi="Verdana" w:cs="TimesNewRomanPSMT"/>
          <w:kern w:val="0"/>
          <w:sz w:val="20"/>
          <w:szCs w:val="20"/>
          <w:lang w:val="pt-BR"/>
        </w:rPr>
        <w:t>pelo comentário da UML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estereotipad</w:t>
      </w:r>
      <w:r w:rsidR="00335EC1">
        <w:rPr>
          <w:rFonts w:ascii="Verdana" w:hAnsi="Verdana" w:cs="TimesNewRomanPSMT"/>
          <w:kern w:val="0"/>
          <w:sz w:val="20"/>
          <w:szCs w:val="20"/>
          <w:lang w:val="pt-BR"/>
        </w:rPr>
        <w:t>o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335EC1">
        <w:rPr>
          <w:rFonts w:ascii="Verdana" w:hAnsi="Verdana" w:cs="TimesNewRomanPSMT"/>
          <w:kern w:val="0"/>
          <w:sz w:val="20"/>
          <w:szCs w:val="20"/>
          <w:lang w:val="pt-BR"/>
        </w:rPr>
        <w:t xml:space="preserve">com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variability</w:t>
      </w:r>
      <w:r w:rsidR="00335EC1">
        <w:rPr>
          <w:rFonts w:ascii="Verdana" w:hAnsi="Verdana" w:cs="TimesNewRomanPSMT"/>
          <w:kern w:val="0"/>
          <w:sz w:val="20"/>
          <w:szCs w:val="20"/>
          <w:lang w:val="pt-BR"/>
        </w:rPr>
        <w:t>&gt;&gt;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.</w:t>
      </w:r>
    </w:p>
    <w:p w14:paraId="420BE7CA" w14:textId="77777777" w:rsidR="005E11C6" w:rsidRPr="005E11C6" w:rsidRDefault="005E11C6" w:rsidP="005E11C6">
      <w:pPr>
        <w:spacing w:after="120"/>
        <w:rPr>
          <w:rFonts w:ascii="Verdana" w:hAnsi="Verdana"/>
          <w:b/>
          <w:i/>
          <w:sz w:val="22"/>
          <w:szCs w:val="22"/>
          <w:lang w:val="pt-BR"/>
        </w:rPr>
      </w:pPr>
      <w:r w:rsidRPr="00CE2303">
        <w:rPr>
          <w:rFonts w:ascii="Verdana" w:hAnsi="Verdana"/>
          <w:b/>
          <w:i/>
          <w:sz w:val="22"/>
          <w:szCs w:val="22"/>
          <w:lang w:val="pt-BR"/>
        </w:rPr>
        <w:t>Relações de Extensão (Extend)</w:t>
      </w:r>
    </w:p>
    <w:p w14:paraId="5DC81A2E" w14:textId="77777777" w:rsidR="005E11C6" w:rsidRPr="005559CE" w:rsidRDefault="005E11C6" w:rsidP="005E11C6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lastRenderedPageBreak/>
        <w:t xml:space="preserve">Na Figura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3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podemos notar como a aplicação da abordagem é realizada para um caso de uso com associações de extensão (&lt;&lt;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extend&gt;&gt;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). Notamos que existe uma variante obrigatória, que não é considerada no meta-atributo </w:t>
      </w:r>
      <w:r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 xml:space="preserve">minSelection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e </w:t>
      </w:r>
      <w:r w:rsidRPr="005559C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maxSelection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, por justamente ser necessária e obrigatoriamente estar presente na variabilidade.</w:t>
      </w:r>
    </w:p>
    <w:p w14:paraId="60A142D5" w14:textId="77777777" w:rsidR="005E11C6" w:rsidRDefault="005E11C6" w:rsidP="005E11C6">
      <w:pPr>
        <w:pStyle w:val="Standard"/>
        <w:ind w:firstLine="567"/>
        <w:jc w:val="center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noProof/>
          <w:color w:val="000000"/>
          <w:sz w:val="22"/>
          <w:szCs w:val="22"/>
        </w:rPr>
        <w:drawing>
          <wp:inline distT="0" distB="0" distL="0" distR="0" wp14:anchorId="14AC93AA" wp14:editId="3BA9AA1D">
            <wp:extent cx="6035040" cy="2597150"/>
            <wp:effectExtent l="0" t="0" r="381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DC357" w14:textId="77777777" w:rsidR="005E11C6" w:rsidRDefault="005E11C6" w:rsidP="005E11C6">
      <w:pPr>
        <w:spacing w:after="120"/>
        <w:jc w:val="center"/>
        <w:rPr>
          <w:rFonts w:ascii="Verdana" w:hAnsi="Verdana"/>
          <w:color w:val="000000" w:themeColor="text1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3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Exemplo de Diagrama de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Casos de Uso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com Representação de Vari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a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>bilidades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 xml:space="preserve"> para associações de extensão</w:t>
      </w:r>
    </w:p>
    <w:p w14:paraId="4A8BB1E7" w14:textId="77777777" w:rsidR="005E11C6" w:rsidRPr="00CE2303" w:rsidRDefault="005E11C6" w:rsidP="005E11C6">
      <w:pPr>
        <w:spacing w:after="120"/>
        <w:jc w:val="both"/>
        <w:rPr>
          <w:rFonts w:ascii="Verdana" w:hAnsi="Verdana"/>
          <w:b/>
          <w:i/>
          <w:sz w:val="22"/>
          <w:szCs w:val="22"/>
          <w:lang w:val="pt-BR"/>
        </w:rPr>
      </w:pPr>
      <w:r w:rsidRPr="00CE2303">
        <w:rPr>
          <w:rFonts w:ascii="Verdana" w:hAnsi="Verdana"/>
          <w:b/>
          <w:i/>
          <w:sz w:val="22"/>
          <w:szCs w:val="22"/>
          <w:lang w:val="pt-BR"/>
        </w:rPr>
        <w:t>Relações de Inclu</w:t>
      </w:r>
      <w:r>
        <w:rPr>
          <w:rFonts w:ascii="Verdana" w:hAnsi="Verdana"/>
          <w:b/>
          <w:i/>
          <w:sz w:val="22"/>
          <w:szCs w:val="22"/>
          <w:lang w:val="pt-BR"/>
        </w:rPr>
        <w:t>são (Include)</w:t>
      </w:r>
    </w:p>
    <w:p w14:paraId="6C34C7D4" w14:textId="4C1FE355" w:rsidR="005E11C6" w:rsidRDefault="005E11C6" w:rsidP="005E11C6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Como indicado na diretriz </w:t>
      </w:r>
      <w:r w:rsidR="00D2534A">
        <w:rPr>
          <w:rFonts w:ascii="Verdana" w:hAnsi="Verdana" w:cs="TimesNewRomanPSMT"/>
          <w:kern w:val="0"/>
          <w:sz w:val="20"/>
          <w:szCs w:val="20"/>
          <w:lang w:val="pt-BR"/>
        </w:rPr>
        <w:t>UC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.3 para a identificação de variabilidades: em modelos de caso de uso relacionadas com a associação de inclusão (&lt;&lt;</w:t>
      </w:r>
      <w:r w:rsidRPr="005559CE">
        <w:rPr>
          <w:rFonts w:ascii="Verdana" w:hAnsi="Verdana" w:cs="TimesNewRomanPSMT"/>
          <w:i/>
          <w:kern w:val="0"/>
          <w:sz w:val="20"/>
          <w:szCs w:val="20"/>
          <w:lang w:val="pt-BR"/>
        </w:rPr>
        <w:t>include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>&gt;&gt;) ou associados a atores sugerem vari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antes obrigatórias ou opcionais.</w:t>
      </w:r>
    </w:p>
    <w:p w14:paraId="6FB15CD9" w14:textId="77777777" w:rsidR="00AB346B" w:rsidRDefault="00AB346B" w:rsidP="005E11C6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38AA15BD" w14:textId="77777777" w:rsidR="00AB346B" w:rsidRDefault="00AB346B" w:rsidP="00AB346B">
      <w:pPr>
        <w:spacing w:after="120"/>
        <w:jc w:val="both"/>
        <w:rPr>
          <w:rFonts w:ascii="Verdana" w:hAnsi="Verdana"/>
          <w:b/>
          <w:color w:val="000000" w:themeColor="text1"/>
          <w:sz w:val="22"/>
          <w:lang w:val="pt-BR"/>
        </w:rPr>
      </w:pPr>
      <w:r w:rsidRPr="002136F0">
        <w:rPr>
          <w:rFonts w:ascii="Verdana" w:hAnsi="Verdana"/>
          <w:b/>
          <w:color w:val="000000" w:themeColor="text1"/>
          <w:sz w:val="22"/>
          <w:lang w:val="pt-BR"/>
        </w:rPr>
        <w:t>III. Exercício</w:t>
      </w:r>
    </w:p>
    <w:p w14:paraId="7010D896" w14:textId="77777777" w:rsidR="00AB346B" w:rsidRDefault="00AB346B" w:rsidP="00AB346B">
      <w:pPr>
        <w:spacing w:after="120"/>
        <w:jc w:val="both"/>
        <w:rPr>
          <w:rFonts w:ascii="Verdana" w:hAnsi="Verdana"/>
          <w:b/>
          <w:color w:val="000000" w:themeColor="text1"/>
          <w:sz w:val="22"/>
          <w:lang w:val="pt-BR"/>
        </w:rPr>
      </w:pPr>
    </w:p>
    <w:p w14:paraId="5151E608" w14:textId="66E3D13D" w:rsidR="00AB346B" w:rsidRDefault="00AB346B" w:rsidP="00AB346B">
      <w:pPr>
        <w:spacing w:after="120"/>
        <w:ind w:firstLine="567"/>
        <w:jc w:val="both"/>
        <w:rPr>
          <w:rFonts w:ascii="Verdana" w:hAnsi="Verdana"/>
          <w:color w:val="000000" w:themeColor="text1"/>
          <w:sz w:val="22"/>
          <w:lang w:val="pt-BR"/>
        </w:rPr>
      </w:pPr>
      <w:r>
        <w:rPr>
          <w:rFonts w:ascii="Verdana" w:hAnsi="Verdana"/>
          <w:color w:val="000000" w:themeColor="text1"/>
          <w:sz w:val="22"/>
          <w:lang w:val="pt-BR"/>
        </w:rPr>
        <w:t xml:space="preserve">Dada a descrição da linha de produto de software pedagógica </w:t>
      </w:r>
      <w:r>
        <w:rPr>
          <w:rFonts w:ascii="Verdana" w:hAnsi="Verdana"/>
          <w:i/>
          <w:color w:val="000000" w:themeColor="text1"/>
          <w:sz w:val="22"/>
          <w:lang w:val="pt-BR"/>
        </w:rPr>
        <w:t>Arcade Game Maker</w:t>
      </w:r>
      <w:r>
        <w:rPr>
          <w:rFonts w:ascii="Verdana" w:hAnsi="Verdana"/>
          <w:color w:val="000000" w:themeColor="text1"/>
          <w:sz w:val="22"/>
          <w:lang w:val="pt-BR"/>
        </w:rPr>
        <w:t xml:space="preserve"> (AGM), desenvolvida pelo </w:t>
      </w:r>
      <w:r w:rsidRPr="002136F0">
        <w:rPr>
          <w:rFonts w:ascii="Verdana" w:hAnsi="Verdana"/>
          <w:i/>
          <w:color w:val="000000" w:themeColor="text1"/>
          <w:sz w:val="22"/>
          <w:lang w:val="pt-BR"/>
        </w:rPr>
        <w:t>Software Engineering Institute</w:t>
      </w:r>
      <w:r>
        <w:rPr>
          <w:rFonts w:ascii="Verdana" w:hAnsi="Verdana"/>
          <w:i/>
          <w:color w:val="000000" w:themeColor="text1"/>
          <w:sz w:val="22"/>
          <w:lang w:val="pt-BR"/>
        </w:rPr>
        <w:t xml:space="preserve"> </w:t>
      </w:r>
      <w:r>
        <w:rPr>
          <w:rFonts w:ascii="Verdana" w:hAnsi="Verdana"/>
          <w:color w:val="000000" w:themeColor="text1"/>
          <w:sz w:val="22"/>
          <w:lang w:val="pt-BR"/>
        </w:rPr>
        <w:t xml:space="preserve">(SEI) apresente por meio de um diagrama de casos de uso, com a aplicação da </w:t>
      </w:r>
      <w:r w:rsidRPr="002136F0">
        <w:rPr>
          <w:rFonts w:ascii="Verdana" w:hAnsi="Verdana"/>
          <w:b/>
          <w:color w:val="000000" w:themeColor="text1"/>
          <w:sz w:val="22"/>
          <w:lang w:val="pt-BR"/>
        </w:rPr>
        <w:t xml:space="preserve">Abordagem </w:t>
      </w:r>
      <w:r>
        <w:rPr>
          <w:rFonts w:ascii="Verdana" w:hAnsi="Verdana"/>
          <w:b/>
          <w:color w:val="000000" w:themeColor="text1"/>
          <w:sz w:val="22"/>
          <w:lang w:val="pt-BR"/>
        </w:rPr>
        <w:t>Y</w:t>
      </w:r>
      <w:r>
        <w:rPr>
          <w:rFonts w:ascii="Verdana" w:hAnsi="Verdana"/>
          <w:color w:val="000000" w:themeColor="text1"/>
          <w:sz w:val="22"/>
          <w:lang w:val="pt-BR"/>
        </w:rPr>
        <w:t xml:space="preserve"> todas as variabilidades e similaridades descritas.</w:t>
      </w:r>
    </w:p>
    <w:p w14:paraId="4DF29E57" w14:textId="77777777" w:rsidR="00AB346B" w:rsidRDefault="00AB346B" w:rsidP="00AB346B">
      <w:pPr>
        <w:spacing w:after="120"/>
        <w:ind w:firstLine="567"/>
        <w:jc w:val="both"/>
        <w:rPr>
          <w:rFonts w:ascii="Verdana" w:hAnsi="Verdana"/>
          <w:color w:val="000000" w:themeColor="text1"/>
          <w:sz w:val="22"/>
          <w:lang w:val="pt-BR"/>
        </w:rPr>
      </w:pPr>
      <w:r>
        <w:rPr>
          <w:rFonts w:ascii="Verdana" w:hAnsi="Verdana"/>
          <w:color w:val="000000" w:themeColor="text1"/>
          <w:sz w:val="22"/>
          <w:lang w:val="pt-BR"/>
        </w:rPr>
        <w:t xml:space="preserve">A LPS AGM é focada no desenvolvimento de jogos eletrônicos para celular, podendo gerar produtos com até três jogos diferentes: </w:t>
      </w:r>
      <w:r>
        <w:rPr>
          <w:rFonts w:ascii="Verdana" w:hAnsi="Verdana"/>
          <w:b/>
          <w:color w:val="000000" w:themeColor="text1"/>
          <w:sz w:val="22"/>
          <w:lang w:val="pt-BR"/>
        </w:rPr>
        <w:t xml:space="preserve">Brickles, Pong </w:t>
      </w:r>
      <w:r>
        <w:rPr>
          <w:rFonts w:ascii="Verdana" w:hAnsi="Verdana"/>
          <w:color w:val="000000" w:themeColor="text1"/>
          <w:sz w:val="22"/>
          <w:lang w:val="pt-BR"/>
        </w:rPr>
        <w:t xml:space="preserve">e/ou </w:t>
      </w:r>
      <w:r>
        <w:rPr>
          <w:rFonts w:ascii="Verdana" w:hAnsi="Verdana"/>
          <w:b/>
          <w:color w:val="000000" w:themeColor="text1"/>
          <w:sz w:val="22"/>
          <w:lang w:val="pt-BR"/>
        </w:rPr>
        <w:t>Bowling</w:t>
      </w:r>
      <w:r>
        <w:rPr>
          <w:rFonts w:ascii="Verdana" w:hAnsi="Verdana"/>
          <w:color w:val="000000" w:themeColor="text1"/>
          <w:sz w:val="22"/>
          <w:lang w:val="pt-BR"/>
        </w:rPr>
        <w:t>, mas pelo menos um deles deverá existir. Estes produtos podem apresentar configurações e elementos opcionais, como verificar a melhor pontuação obtida anteriormente (</w:t>
      </w:r>
      <w:r>
        <w:rPr>
          <w:rFonts w:ascii="Verdana" w:hAnsi="Verdana"/>
          <w:b/>
          <w:color w:val="000000" w:themeColor="text1"/>
          <w:sz w:val="22"/>
          <w:lang w:val="pt-BR"/>
        </w:rPr>
        <w:t>Check Previous Best Score</w:t>
      </w:r>
      <w:r>
        <w:rPr>
          <w:rFonts w:ascii="Verdana" w:hAnsi="Verdana"/>
          <w:color w:val="000000" w:themeColor="text1"/>
          <w:sz w:val="22"/>
          <w:lang w:val="pt-BR"/>
        </w:rPr>
        <w:t>), que necessitará obrigatoriamente, se selecionada, do caso de uso salvar a pontuação (</w:t>
      </w:r>
      <w:r>
        <w:rPr>
          <w:rFonts w:ascii="Verdana" w:hAnsi="Verdana"/>
          <w:b/>
          <w:color w:val="000000" w:themeColor="text1"/>
          <w:sz w:val="22"/>
          <w:lang w:val="pt-BR"/>
        </w:rPr>
        <w:t>Save Score</w:t>
      </w:r>
      <w:r>
        <w:rPr>
          <w:rFonts w:ascii="Verdana" w:hAnsi="Verdana"/>
          <w:color w:val="000000" w:themeColor="text1"/>
          <w:sz w:val="22"/>
          <w:lang w:val="pt-BR"/>
        </w:rPr>
        <w:t>). Todos os jogos devem possuir instalador (</w:t>
      </w:r>
      <w:r>
        <w:rPr>
          <w:rFonts w:ascii="Verdana" w:hAnsi="Verdana"/>
          <w:b/>
          <w:color w:val="000000" w:themeColor="text1"/>
          <w:sz w:val="22"/>
          <w:lang w:val="pt-BR"/>
        </w:rPr>
        <w:t>Install Game</w:t>
      </w:r>
      <w:r>
        <w:rPr>
          <w:rFonts w:ascii="Verdana" w:hAnsi="Verdana"/>
          <w:color w:val="000000" w:themeColor="text1"/>
          <w:sz w:val="22"/>
          <w:lang w:val="pt-BR"/>
        </w:rPr>
        <w:t>), também devem permitir salvar o jogo (</w:t>
      </w:r>
      <w:r>
        <w:rPr>
          <w:rFonts w:ascii="Verdana" w:hAnsi="Verdana"/>
          <w:b/>
          <w:color w:val="000000" w:themeColor="text1"/>
          <w:sz w:val="22"/>
          <w:lang w:val="pt-BR"/>
        </w:rPr>
        <w:t>Save Game</w:t>
      </w:r>
      <w:r>
        <w:rPr>
          <w:rFonts w:ascii="Verdana" w:hAnsi="Verdana"/>
          <w:color w:val="000000" w:themeColor="text1"/>
          <w:sz w:val="22"/>
          <w:lang w:val="pt-BR"/>
        </w:rPr>
        <w:t>), sair do mesmo (</w:t>
      </w:r>
      <w:r>
        <w:rPr>
          <w:rFonts w:ascii="Verdana" w:hAnsi="Verdana"/>
          <w:b/>
          <w:color w:val="000000" w:themeColor="text1"/>
          <w:sz w:val="22"/>
          <w:lang w:val="pt-BR"/>
        </w:rPr>
        <w:t>Exit Game</w:t>
      </w:r>
      <w:r>
        <w:rPr>
          <w:rFonts w:ascii="Verdana" w:hAnsi="Verdana"/>
          <w:color w:val="000000" w:themeColor="text1"/>
          <w:sz w:val="22"/>
          <w:lang w:val="pt-BR"/>
        </w:rPr>
        <w:t>), desinstalar (</w:t>
      </w:r>
      <w:r>
        <w:rPr>
          <w:rFonts w:ascii="Verdana" w:hAnsi="Verdana"/>
          <w:b/>
          <w:color w:val="000000" w:themeColor="text1"/>
          <w:sz w:val="22"/>
          <w:lang w:val="pt-BR"/>
        </w:rPr>
        <w:t>Unistall Game</w:t>
      </w:r>
      <w:r>
        <w:rPr>
          <w:rFonts w:ascii="Verdana" w:hAnsi="Verdana"/>
          <w:color w:val="000000" w:themeColor="text1"/>
          <w:sz w:val="22"/>
          <w:lang w:val="pt-BR"/>
        </w:rPr>
        <w:t>), e seja qualquer um dos três jogos, é necessária a inicialização (</w:t>
      </w:r>
      <w:r>
        <w:rPr>
          <w:rFonts w:ascii="Verdana" w:hAnsi="Verdana"/>
          <w:b/>
          <w:color w:val="000000" w:themeColor="text1"/>
          <w:sz w:val="22"/>
          <w:lang w:val="pt-BR"/>
        </w:rPr>
        <w:t>initialization</w:t>
      </w:r>
      <w:r>
        <w:rPr>
          <w:rFonts w:ascii="Verdana" w:hAnsi="Verdana"/>
          <w:color w:val="000000" w:themeColor="text1"/>
          <w:sz w:val="22"/>
          <w:lang w:val="pt-BR"/>
        </w:rPr>
        <w:t>) e a animação de loop (</w:t>
      </w:r>
      <w:r>
        <w:rPr>
          <w:rFonts w:ascii="Verdana" w:hAnsi="Verdana"/>
          <w:b/>
          <w:color w:val="000000" w:themeColor="text1"/>
          <w:sz w:val="22"/>
          <w:lang w:val="pt-BR"/>
        </w:rPr>
        <w:t>Animation Loop</w:t>
      </w:r>
      <w:r>
        <w:rPr>
          <w:rFonts w:ascii="Verdana" w:hAnsi="Verdana"/>
          <w:color w:val="000000" w:themeColor="text1"/>
          <w:sz w:val="22"/>
          <w:lang w:val="pt-BR"/>
        </w:rPr>
        <w:t>).</w:t>
      </w:r>
    </w:p>
    <w:p w14:paraId="22FCDB8F" w14:textId="77777777" w:rsidR="005E11C6" w:rsidRPr="005E11C6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sectPr w:rsidR="005E11C6" w:rsidRPr="005E11C6" w:rsidSect="00C83E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D9FE98" w14:textId="77777777" w:rsidR="00AB6691" w:rsidRDefault="00AB6691" w:rsidP="005B52C0">
      <w:r>
        <w:separator/>
      </w:r>
    </w:p>
  </w:endnote>
  <w:endnote w:type="continuationSeparator" w:id="0">
    <w:p w14:paraId="1F288615" w14:textId="77777777" w:rsidR="00AB6691" w:rsidRDefault="00AB6691" w:rsidP="005B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Times New Roman"/>
    <w:panose1 w:val="05010000000000000000"/>
    <w:charset w:val="00"/>
    <w:family w:val="auto"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6142C" w14:textId="77777777" w:rsidR="00AB346B" w:rsidRDefault="00AB346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055C376B" w14:textId="6F8EB496" w:rsidR="005F15C9" w:rsidRPr="005F15C9" w:rsidRDefault="00BB75C9">
        <w:pPr>
          <w:pStyle w:val="Rodap"/>
          <w:jc w:val="right"/>
          <w:rPr>
            <w:rFonts w:ascii="Verdana" w:hAnsi="Verdana"/>
            <w:lang w:val="pt-BR"/>
          </w:rPr>
        </w:pPr>
        <w:r w:rsidRPr="001F49D1">
          <w:rPr>
            <w:rFonts w:ascii="Verdana" w:hAnsi="Verdana"/>
            <w:i/>
            <w:sz w:val="14"/>
            <w:szCs w:val="14"/>
            <w:lang w:val="pt-BR"/>
          </w:rPr>
          <w:t>Eletronic Commerce:</w:t>
        </w:r>
        <w:r w:rsidRPr="001F49D1">
          <w:rPr>
            <w:rFonts w:ascii="Verdana" w:hAnsi="Verdana"/>
            <w:sz w:val="14"/>
            <w:szCs w:val="14"/>
            <w:lang w:val="pt-BR"/>
          </w:rPr>
          <w:t xml:space="preserve"> </w:t>
        </w:r>
        <w:r w:rsidR="00AB346B">
          <w:rPr>
            <w:rFonts w:ascii="Verdana" w:hAnsi="Verdana"/>
            <w:sz w:val="14"/>
            <w:szCs w:val="14"/>
            <w:lang w:val="pt-BR"/>
          </w:rPr>
          <w:t>Abordagem Y</w:t>
        </w:r>
        <w:bookmarkStart w:id="0" w:name="_GoBack"/>
        <w:bookmarkEnd w:id="0"/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Pr="005F15C9">
          <w:rPr>
            <w:rFonts w:ascii="Verdana" w:hAnsi="Verdana"/>
          </w:rPr>
          <w:fldChar w:fldCharType="begin"/>
        </w:r>
        <w:r w:rsidRPr="005F15C9">
          <w:rPr>
            <w:rFonts w:ascii="Verdana" w:hAnsi="Verdana"/>
            <w:lang w:val="pt-BR"/>
          </w:rPr>
          <w:instrText>PAGE   \* MERGEFORMAT</w:instrText>
        </w:r>
        <w:r w:rsidRPr="005F15C9">
          <w:rPr>
            <w:rFonts w:ascii="Verdana" w:hAnsi="Verdana"/>
          </w:rPr>
          <w:fldChar w:fldCharType="separate"/>
        </w:r>
        <w:r w:rsidR="00AB346B">
          <w:rPr>
            <w:rFonts w:ascii="Verdana" w:hAnsi="Verdana"/>
            <w:noProof/>
            <w:lang w:val="pt-BR"/>
          </w:rPr>
          <w:t>1</w:t>
        </w:r>
        <w:r w:rsidRPr="005F15C9">
          <w:rPr>
            <w:rFonts w:ascii="Verdana" w:hAnsi="Verdana"/>
          </w:rPr>
          <w:fldChar w:fldCharType="end"/>
        </w:r>
      </w:p>
    </w:sdtContent>
  </w:sdt>
  <w:p w14:paraId="3DC6C37C" w14:textId="77777777" w:rsidR="005F15C9" w:rsidRPr="005F15C9" w:rsidRDefault="00AB6691">
    <w:pPr>
      <w:pStyle w:val="Rodap"/>
      <w:rPr>
        <w:lang w:val="pt-B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B1327" w14:textId="77777777" w:rsidR="00AB346B" w:rsidRDefault="00AB346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FB7BB" w14:textId="77777777" w:rsidR="00AB6691" w:rsidRDefault="00AB6691" w:rsidP="005B52C0">
      <w:r>
        <w:separator/>
      </w:r>
    </w:p>
  </w:footnote>
  <w:footnote w:type="continuationSeparator" w:id="0">
    <w:p w14:paraId="5F274E95" w14:textId="77777777" w:rsidR="00AB6691" w:rsidRDefault="00AB6691" w:rsidP="005B5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C986B" w14:textId="77777777" w:rsidR="00AB346B" w:rsidRDefault="00AB346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C1ACE" w14:textId="77777777" w:rsidR="00AB346B" w:rsidRDefault="00AB346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D9A3D" w14:textId="77777777" w:rsidR="00AB346B" w:rsidRDefault="00AB346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C0"/>
    <w:rsid w:val="000006F7"/>
    <w:rsid w:val="00001A71"/>
    <w:rsid w:val="0000222C"/>
    <w:rsid w:val="0000257F"/>
    <w:rsid w:val="0000314D"/>
    <w:rsid w:val="00003934"/>
    <w:rsid w:val="000046A4"/>
    <w:rsid w:val="000053FF"/>
    <w:rsid w:val="00011299"/>
    <w:rsid w:val="00011D9B"/>
    <w:rsid w:val="000121D3"/>
    <w:rsid w:val="00012B1B"/>
    <w:rsid w:val="0001476F"/>
    <w:rsid w:val="00014892"/>
    <w:rsid w:val="000151C4"/>
    <w:rsid w:val="000175A6"/>
    <w:rsid w:val="0001772F"/>
    <w:rsid w:val="00017DF3"/>
    <w:rsid w:val="0002014F"/>
    <w:rsid w:val="0002282B"/>
    <w:rsid w:val="000234DE"/>
    <w:rsid w:val="00024D9A"/>
    <w:rsid w:val="00025637"/>
    <w:rsid w:val="00025C57"/>
    <w:rsid w:val="000276B2"/>
    <w:rsid w:val="00027EDA"/>
    <w:rsid w:val="00030241"/>
    <w:rsid w:val="00031138"/>
    <w:rsid w:val="00033856"/>
    <w:rsid w:val="00036291"/>
    <w:rsid w:val="00041FDA"/>
    <w:rsid w:val="00043D11"/>
    <w:rsid w:val="00047D1E"/>
    <w:rsid w:val="00047F14"/>
    <w:rsid w:val="000550E5"/>
    <w:rsid w:val="00056473"/>
    <w:rsid w:val="00056C10"/>
    <w:rsid w:val="00057AC3"/>
    <w:rsid w:val="0006089F"/>
    <w:rsid w:val="0006192F"/>
    <w:rsid w:val="000627B3"/>
    <w:rsid w:val="0006553B"/>
    <w:rsid w:val="00065546"/>
    <w:rsid w:val="0006737B"/>
    <w:rsid w:val="00070EE0"/>
    <w:rsid w:val="00071420"/>
    <w:rsid w:val="00073B73"/>
    <w:rsid w:val="0007419B"/>
    <w:rsid w:val="00081B7C"/>
    <w:rsid w:val="000832B8"/>
    <w:rsid w:val="00084616"/>
    <w:rsid w:val="0008678E"/>
    <w:rsid w:val="000909ED"/>
    <w:rsid w:val="00092B43"/>
    <w:rsid w:val="000935CA"/>
    <w:rsid w:val="00093742"/>
    <w:rsid w:val="00093D0D"/>
    <w:rsid w:val="00094872"/>
    <w:rsid w:val="000A3BC2"/>
    <w:rsid w:val="000A4B08"/>
    <w:rsid w:val="000B1DB2"/>
    <w:rsid w:val="000B2959"/>
    <w:rsid w:val="000C32F5"/>
    <w:rsid w:val="000C4CD4"/>
    <w:rsid w:val="000C5AE2"/>
    <w:rsid w:val="000D1034"/>
    <w:rsid w:val="000D2126"/>
    <w:rsid w:val="000D2D95"/>
    <w:rsid w:val="000D2E3E"/>
    <w:rsid w:val="000D2FB4"/>
    <w:rsid w:val="000D4BD3"/>
    <w:rsid w:val="000D66F9"/>
    <w:rsid w:val="000E011D"/>
    <w:rsid w:val="000E0562"/>
    <w:rsid w:val="000E2902"/>
    <w:rsid w:val="000E432C"/>
    <w:rsid w:val="000E6D27"/>
    <w:rsid w:val="000F04E3"/>
    <w:rsid w:val="000F051E"/>
    <w:rsid w:val="000F14FC"/>
    <w:rsid w:val="000F28DB"/>
    <w:rsid w:val="000F53F2"/>
    <w:rsid w:val="000F70F9"/>
    <w:rsid w:val="00101074"/>
    <w:rsid w:val="00103956"/>
    <w:rsid w:val="00103EC1"/>
    <w:rsid w:val="00105A00"/>
    <w:rsid w:val="00110EC4"/>
    <w:rsid w:val="0011652E"/>
    <w:rsid w:val="001168D4"/>
    <w:rsid w:val="00117E18"/>
    <w:rsid w:val="00120233"/>
    <w:rsid w:val="00121102"/>
    <w:rsid w:val="00122F63"/>
    <w:rsid w:val="00123033"/>
    <w:rsid w:val="00123312"/>
    <w:rsid w:val="00124232"/>
    <w:rsid w:val="00124302"/>
    <w:rsid w:val="0012523D"/>
    <w:rsid w:val="00127B8B"/>
    <w:rsid w:val="0013428B"/>
    <w:rsid w:val="00134F2D"/>
    <w:rsid w:val="001355F4"/>
    <w:rsid w:val="00136B85"/>
    <w:rsid w:val="001412B8"/>
    <w:rsid w:val="001504EB"/>
    <w:rsid w:val="00154431"/>
    <w:rsid w:val="001559F3"/>
    <w:rsid w:val="00156339"/>
    <w:rsid w:val="00156B5B"/>
    <w:rsid w:val="00157090"/>
    <w:rsid w:val="00161B00"/>
    <w:rsid w:val="00163C45"/>
    <w:rsid w:val="001644D7"/>
    <w:rsid w:val="00165EB1"/>
    <w:rsid w:val="00165FFA"/>
    <w:rsid w:val="0016661B"/>
    <w:rsid w:val="001670CC"/>
    <w:rsid w:val="0016765E"/>
    <w:rsid w:val="001706E8"/>
    <w:rsid w:val="00170B64"/>
    <w:rsid w:val="00173E16"/>
    <w:rsid w:val="00175324"/>
    <w:rsid w:val="00177004"/>
    <w:rsid w:val="001773F7"/>
    <w:rsid w:val="00177ADC"/>
    <w:rsid w:val="00181EB2"/>
    <w:rsid w:val="00182E73"/>
    <w:rsid w:val="001830EB"/>
    <w:rsid w:val="00183B0C"/>
    <w:rsid w:val="00183D47"/>
    <w:rsid w:val="00194286"/>
    <w:rsid w:val="001944BA"/>
    <w:rsid w:val="0019638D"/>
    <w:rsid w:val="00196C9C"/>
    <w:rsid w:val="001973D9"/>
    <w:rsid w:val="001974AF"/>
    <w:rsid w:val="001A05E8"/>
    <w:rsid w:val="001A3642"/>
    <w:rsid w:val="001A3B41"/>
    <w:rsid w:val="001A6E4D"/>
    <w:rsid w:val="001A75AE"/>
    <w:rsid w:val="001B0B5F"/>
    <w:rsid w:val="001B0DCF"/>
    <w:rsid w:val="001B122F"/>
    <w:rsid w:val="001B2331"/>
    <w:rsid w:val="001B2696"/>
    <w:rsid w:val="001B31CE"/>
    <w:rsid w:val="001B4070"/>
    <w:rsid w:val="001C0808"/>
    <w:rsid w:val="001C162A"/>
    <w:rsid w:val="001C1691"/>
    <w:rsid w:val="001C2608"/>
    <w:rsid w:val="001C4208"/>
    <w:rsid w:val="001C616C"/>
    <w:rsid w:val="001D0223"/>
    <w:rsid w:val="001D0734"/>
    <w:rsid w:val="001D0D48"/>
    <w:rsid w:val="001D1568"/>
    <w:rsid w:val="001D274D"/>
    <w:rsid w:val="001D27CC"/>
    <w:rsid w:val="001D4887"/>
    <w:rsid w:val="001D6F82"/>
    <w:rsid w:val="001E03B0"/>
    <w:rsid w:val="001E093E"/>
    <w:rsid w:val="001E0CF0"/>
    <w:rsid w:val="001E1C47"/>
    <w:rsid w:val="001E37DE"/>
    <w:rsid w:val="001E4582"/>
    <w:rsid w:val="001F34A9"/>
    <w:rsid w:val="001F5638"/>
    <w:rsid w:val="002018B9"/>
    <w:rsid w:val="00201BA5"/>
    <w:rsid w:val="002037AB"/>
    <w:rsid w:val="002041EC"/>
    <w:rsid w:val="0020479F"/>
    <w:rsid w:val="00204B1B"/>
    <w:rsid w:val="00204B32"/>
    <w:rsid w:val="002065FC"/>
    <w:rsid w:val="00206898"/>
    <w:rsid w:val="0021318B"/>
    <w:rsid w:val="002143AC"/>
    <w:rsid w:val="0021501F"/>
    <w:rsid w:val="002158D3"/>
    <w:rsid w:val="002167CD"/>
    <w:rsid w:val="0021775A"/>
    <w:rsid w:val="00217FA3"/>
    <w:rsid w:val="00220560"/>
    <w:rsid w:val="00226410"/>
    <w:rsid w:val="00231A35"/>
    <w:rsid w:val="00231D9D"/>
    <w:rsid w:val="0023264F"/>
    <w:rsid w:val="00233710"/>
    <w:rsid w:val="002337D9"/>
    <w:rsid w:val="002347D2"/>
    <w:rsid w:val="00234C72"/>
    <w:rsid w:val="00240E8E"/>
    <w:rsid w:val="00242681"/>
    <w:rsid w:val="00243768"/>
    <w:rsid w:val="00245F66"/>
    <w:rsid w:val="0024636E"/>
    <w:rsid w:val="00246479"/>
    <w:rsid w:val="00246ABC"/>
    <w:rsid w:val="00247315"/>
    <w:rsid w:val="00247616"/>
    <w:rsid w:val="002507F8"/>
    <w:rsid w:val="00255F6A"/>
    <w:rsid w:val="0025617E"/>
    <w:rsid w:val="002568E3"/>
    <w:rsid w:val="00256D37"/>
    <w:rsid w:val="0025726B"/>
    <w:rsid w:val="00260547"/>
    <w:rsid w:val="00262D30"/>
    <w:rsid w:val="00263591"/>
    <w:rsid w:val="002642FA"/>
    <w:rsid w:val="0026475E"/>
    <w:rsid w:val="00264CD8"/>
    <w:rsid w:val="002701EE"/>
    <w:rsid w:val="00273016"/>
    <w:rsid w:val="00274E77"/>
    <w:rsid w:val="00275A25"/>
    <w:rsid w:val="0027799E"/>
    <w:rsid w:val="002838B0"/>
    <w:rsid w:val="002876F7"/>
    <w:rsid w:val="0029077F"/>
    <w:rsid w:val="0029287C"/>
    <w:rsid w:val="00292B25"/>
    <w:rsid w:val="00292E67"/>
    <w:rsid w:val="002931C7"/>
    <w:rsid w:val="002938D6"/>
    <w:rsid w:val="0029453D"/>
    <w:rsid w:val="002949E5"/>
    <w:rsid w:val="00295722"/>
    <w:rsid w:val="00295B05"/>
    <w:rsid w:val="002979D6"/>
    <w:rsid w:val="002A04FA"/>
    <w:rsid w:val="002A1185"/>
    <w:rsid w:val="002A1E44"/>
    <w:rsid w:val="002A43A2"/>
    <w:rsid w:val="002A47AC"/>
    <w:rsid w:val="002A5279"/>
    <w:rsid w:val="002A70B1"/>
    <w:rsid w:val="002B22AC"/>
    <w:rsid w:val="002B57CA"/>
    <w:rsid w:val="002C5281"/>
    <w:rsid w:val="002C6BE6"/>
    <w:rsid w:val="002C70CB"/>
    <w:rsid w:val="002D1A31"/>
    <w:rsid w:val="002D1E79"/>
    <w:rsid w:val="002D3FD6"/>
    <w:rsid w:val="002D5738"/>
    <w:rsid w:val="002D587D"/>
    <w:rsid w:val="002D6A54"/>
    <w:rsid w:val="002D70A1"/>
    <w:rsid w:val="002E01FC"/>
    <w:rsid w:val="002E1B11"/>
    <w:rsid w:val="002E365F"/>
    <w:rsid w:val="002E5B88"/>
    <w:rsid w:val="002E662B"/>
    <w:rsid w:val="002F01C8"/>
    <w:rsid w:val="002F1B67"/>
    <w:rsid w:val="002F368A"/>
    <w:rsid w:val="002F7916"/>
    <w:rsid w:val="00300126"/>
    <w:rsid w:val="00301067"/>
    <w:rsid w:val="00301BB4"/>
    <w:rsid w:val="00303ADE"/>
    <w:rsid w:val="00305430"/>
    <w:rsid w:val="00311E9F"/>
    <w:rsid w:val="00316ED0"/>
    <w:rsid w:val="0031794E"/>
    <w:rsid w:val="00320502"/>
    <w:rsid w:val="003241D4"/>
    <w:rsid w:val="003250F8"/>
    <w:rsid w:val="00326103"/>
    <w:rsid w:val="00326F95"/>
    <w:rsid w:val="00330F1F"/>
    <w:rsid w:val="0033253B"/>
    <w:rsid w:val="00333831"/>
    <w:rsid w:val="00333A8E"/>
    <w:rsid w:val="00333EEE"/>
    <w:rsid w:val="0033488E"/>
    <w:rsid w:val="00335EC1"/>
    <w:rsid w:val="00335F6E"/>
    <w:rsid w:val="00337CEF"/>
    <w:rsid w:val="00343F20"/>
    <w:rsid w:val="0034438D"/>
    <w:rsid w:val="00351A53"/>
    <w:rsid w:val="00354919"/>
    <w:rsid w:val="00356587"/>
    <w:rsid w:val="003572B8"/>
    <w:rsid w:val="003638A1"/>
    <w:rsid w:val="00365328"/>
    <w:rsid w:val="00367A8C"/>
    <w:rsid w:val="0037102A"/>
    <w:rsid w:val="00371BDC"/>
    <w:rsid w:val="003741E7"/>
    <w:rsid w:val="00375C1B"/>
    <w:rsid w:val="0037713B"/>
    <w:rsid w:val="00381A31"/>
    <w:rsid w:val="00383409"/>
    <w:rsid w:val="0038463E"/>
    <w:rsid w:val="00384EEF"/>
    <w:rsid w:val="0038650B"/>
    <w:rsid w:val="003869F6"/>
    <w:rsid w:val="00386B49"/>
    <w:rsid w:val="00387303"/>
    <w:rsid w:val="0039028D"/>
    <w:rsid w:val="003916A5"/>
    <w:rsid w:val="00391F84"/>
    <w:rsid w:val="003926DC"/>
    <w:rsid w:val="003954DA"/>
    <w:rsid w:val="00397738"/>
    <w:rsid w:val="003A0B04"/>
    <w:rsid w:val="003A3FF4"/>
    <w:rsid w:val="003A518E"/>
    <w:rsid w:val="003A5C7D"/>
    <w:rsid w:val="003A7594"/>
    <w:rsid w:val="003A7867"/>
    <w:rsid w:val="003B3C26"/>
    <w:rsid w:val="003B5869"/>
    <w:rsid w:val="003B5D35"/>
    <w:rsid w:val="003B5D5B"/>
    <w:rsid w:val="003B62F1"/>
    <w:rsid w:val="003C10E7"/>
    <w:rsid w:val="003D0F46"/>
    <w:rsid w:val="003D1090"/>
    <w:rsid w:val="003D28C1"/>
    <w:rsid w:val="003D3CD7"/>
    <w:rsid w:val="003D3DC1"/>
    <w:rsid w:val="003D6C14"/>
    <w:rsid w:val="003E1680"/>
    <w:rsid w:val="003E31F6"/>
    <w:rsid w:val="003E34C9"/>
    <w:rsid w:val="003E4F49"/>
    <w:rsid w:val="003E5385"/>
    <w:rsid w:val="003E623B"/>
    <w:rsid w:val="003F1960"/>
    <w:rsid w:val="003F2F55"/>
    <w:rsid w:val="003F34FE"/>
    <w:rsid w:val="003F4BBB"/>
    <w:rsid w:val="003F7F19"/>
    <w:rsid w:val="004003F1"/>
    <w:rsid w:val="00400B8A"/>
    <w:rsid w:val="00400E7D"/>
    <w:rsid w:val="00401AAB"/>
    <w:rsid w:val="00403497"/>
    <w:rsid w:val="0040394E"/>
    <w:rsid w:val="00405C13"/>
    <w:rsid w:val="00406085"/>
    <w:rsid w:val="00407F22"/>
    <w:rsid w:val="0041118A"/>
    <w:rsid w:val="00411DDC"/>
    <w:rsid w:val="00412704"/>
    <w:rsid w:val="00412F64"/>
    <w:rsid w:val="00417FA3"/>
    <w:rsid w:val="0042180D"/>
    <w:rsid w:val="0042272B"/>
    <w:rsid w:val="004236E5"/>
    <w:rsid w:val="00425F64"/>
    <w:rsid w:val="00426616"/>
    <w:rsid w:val="00432B5D"/>
    <w:rsid w:val="00432F4F"/>
    <w:rsid w:val="0043673A"/>
    <w:rsid w:val="00437B42"/>
    <w:rsid w:val="0044240F"/>
    <w:rsid w:val="0044266E"/>
    <w:rsid w:val="00443FA7"/>
    <w:rsid w:val="004444CF"/>
    <w:rsid w:val="00445DF2"/>
    <w:rsid w:val="00446E96"/>
    <w:rsid w:val="00450B9C"/>
    <w:rsid w:val="004523A2"/>
    <w:rsid w:val="00452F3E"/>
    <w:rsid w:val="00453B71"/>
    <w:rsid w:val="00454298"/>
    <w:rsid w:val="004544CE"/>
    <w:rsid w:val="0046183B"/>
    <w:rsid w:val="0046406D"/>
    <w:rsid w:val="00471DF1"/>
    <w:rsid w:val="0047468E"/>
    <w:rsid w:val="004771E1"/>
    <w:rsid w:val="00477CDA"/>
    <w:rsid w:val="00480B22"/>
    <w:rsid w:val="00482FA5"/>
    <w:rsid w:val="004842A0"/>
    <w:rsid w:val="00484F8C"/>
    <w:rsid w:val="00487292"/>
    <w:rsid w:val="00491777"/>
    <w:rsid w:val="00494E55"/>
    <w:rsid w:val="00494E9A"/>
    <w:rsid w:val="004972F9"/>
    <w:rsid w:val="004A1103"/>
    <w:rsid w:val="004A15F5"/>
    <w:rsid w:val="004A2916"/>
    <w:rsid w:val="004A443D"/>
    <w:rsid w:val="004A5121"/>
    <w:rsid w:val="004A572E"/>
    <w:rsid w:val="004A59CB"/>
    <w:rsid w:val="004A6616"/>
    <w:rsid w:val="004A6CF7"/>
    <w:rsid w:val="004A708E"/>
    <w:rsid w:val="004A76F6"/>
    <w:rsid w:val="004B0BA8"/>
    <w:rsid w:val="004B184B"/>
    <w:rsid w:val="004B2E95"/>
    <w:rsid w:val="004B3AF2"/>
    <w:rsid w:val="004B60A6"/>
    <w:rsid w:val="004B6243"/>
    <w:rsid w:val="004C08E8"/>
    <w:rsid w:val="004C17E7"/>
    <w:rsid w:val="004C5986"/>
    <w:rsid w:val="004C6D00"/>
    <w:rsid w:val="004C6D68"/>
    <w:rsid w:val="004C7D1A"/>
    <w:rsid w:val="004D14FD"/>
    <w:rsid w:val="004D3353"/>
    <w:rsid w:val="004D4133"/>
    <w:rsid w:val="004D45D8"/>
    <w:rsid w:val="004D5E59"/>
    <w:rsid w:val="004D71C4"/>
    <w:rsid w:val="004E03BF"/>
    <w:rsid w:val="004E1B85"/>
    <w:rsid w:val="004E2980"/>
    <w:rsid w:val="004E3BD6"/>
    <w:rsid w:val="004E481D"/>
    <w:rsid w:val="004E5E5F"/>
    <w:rsid w:val="004E5F65"/>
    <w:rsid w:val="004E66ED"/>
    <w:rsid w:val="004E77A8"/>
    <w:rsid w:val="004F027B"/>
    <w:rsid w:val="004F06D7"/>
    <w:rsid w:val="004F0991"/>
    <w:rsid w:val="004F1B35"/>
    <w:rsid w:val="004F2A2E"/>
    <w:rsid w:val="004F5577"/>
    <w:rsid w:val="004F6A0B"/>
    <w:rsid w:val="00501EE4"/>
    <w:rsid w:val="00502CF1"/>
    <w:rsid w:val="005039B6"/>
    <w:rsid w:val="00507A71"/>
    <w:rsid w:val="00510749"/>
    <w:rsid w:val="005118C8"/>
    <w:rsid w:val="00512F20"/>
    <w:rsid w:val="00514092"/>
    <w:rsid w:val="005140D0"/>
    <w:rsid w:val="00514976"/>
    <w:rsid w:val="00516D09"/>
    <w:rsid w:val="005176B8"/>
    <w:rsid w:val="00517B7A"/>
    <w:rsid w:val="00517CCD"/>
    <w:rsid w:val="00522F28"/>
    <w:rsid w:val="00524513"/>
    <w:rsid w:val="0052465E"/>
    <w:rsid w:val="00526A54"/>
    <w:rsid w:val="00531786"/>
    <w:rsid w:val="0053292C"/>
    <w:rsid w:val="005342B2"/>
    <w:rsid w:val="005356A2"/>
    <w:rsid w:val="00535F6B"/>
    <w:rsid w:val="00536572"/>
    <w:rsid w:val="005375BD"/>
    <w:rsid w:val="00540E7D"/>
    <w:rsid w:val="00541ED1"/>
    <w:rsid w:val="00543E31"/>
    <w:rsid w:val="00545881"/>
    <w:rsid w:val="0054608D"/>
    <w:rsid w:val="00550A2F"/>
    <w:rsid w:val="00552832"/>
    <w:rsid w:val="00555470"/>
    <w:rsid w:val="00555F29"/>
    <w:rsid w:val="00555FE0"/>
    <w:rsid w:val="0055663C"/>
    <w:rsid w:val="0055694E"/>
    <w:rsid w:val="005610EA"/>
    <w:rsid w:val="005627DA"/>
    <w:rsid w:val="00563658"/>
    <w:rsid w:val="00571322"/>
    <w:rsid w:val="00571E61"/>
    <w:rsid w:val="00571E9A"/>
    <w:rsid w:val="00572F2B"/>
    <w:rsid w:val="00573CFC"/>
    <w:rsid w:val="005819DF"/>
    <w:rsid w:val="00582EEC"/>
    <w:rsid w:val="005847CB"/>
    <w:rsid w:val="00586280"/>
    <w:rsid w:val="005865D1"/>
    <w:rsid w:val="005928BD"/>
    <w:rsid w:val="0059477C"/>
    <w:rsid w:val="0059498E"/>
    <w:rsid w:val="00594FBA"/>
    <w:rsid w:val="00597FB0"/>
    <w:rsid w:val="005A0E41"/>
    <w:rsid w:val="005A477A"/>
    <w:rsid w:val="005A5635"/>
    <w:rsid w:val="005B04CD"/>
    <w:rsid w:val="005B0B8C"/>
    <w:rsid w:val="005B4714"/>
    <w:rsid w:val="005B4A2B"/>
    <w:rsid w:val="005B52C0"/>
    <w:rsid w:val="005C0C84"/>
    <w:rsid w:val="005C21A9"/>
    <w:rsid w:val="005C3243"/>
    <w:rsid w:val="005C7A99"/>
    <w:rsid w:val="005D478A"/>
    <w:rsid w:val="005D54AC"/>
    <w:rsid w:val="005D7AAF"/>
    <w:rsid w:val="005E0CA8"/>
    <w:rsid w:val="005E11C6"/>
    <w:rsid w:val="005E3A8A"/>
    <w:rsid w:val="005E4902"/>
    <w:rsid w:val="005E5A7D"/>
    <w:rsid w:val="005E7BFA"/>
    <w:rsid w:val="005F145B"/>
    <w:rsid w:val="005F1DAB"/>
    <w:rsid w:val="005F252D"/>
    <w:rsid w:val="005F7147"/>
    <w:rsid w:val="0060138B"/>
    <w:rsid w:val="00605F06"/>
    <w:rsid w:val="00610591"/>
    <w:rsid w:val="00610B78"/>
    <w:rsid w:val="00613F1E"/>
    <w:rsid w:val="0062567C"/>
    <w:rsid w:val="00626EE1"/>
    <w:rsid w:val="00630BCF"/>
    <w:rsid w:val="0063192E"/>
    <w:rsid w:val="00632129"/>
    <w:rsid w:val="00632AE0"/>
    <w:rsid w:val="00633DD8"/>
    <w:rsid w:val="006356BF"/>
    <w:rsid w:val="00636829"/>
    <w:rsid w:val="00641037"/>
    <w:rsid w:val="006420EF"/>
    <w:rsid w:val="0064242C"/>
    <w:rsid w:val="00642B1C"/>
    <w:rsid w:val="00643FBC"/>
    <w:rsid w:val="006505D6"/>
    <w:rsid w:val="00654285"/>
    <w:rsid w:val="006549B7"/>
    <w:rsid w:val="00654ECF"/>
    <w:rsid w:val="006565B3"/>
    <w:rsid w:val="006568BB"/>
    <w:rsid w:val="00657CB3"/>
    <w:rsid w:val="00661006"/>
    <w:rsid w:val="0066104B"/>
    <w:rsid w:val="00662324"/>
    <w:rsid w:val="00663E87"/>
    <w:rsid w:val="006649DF"/>
    <w:rsid w:val="00666346"/>
    <w:rsid w:val="006700CA"/>
    <w:rsid w:val="006728E6"/>
    <w:rsid w:val="006729AC"/>
    <w:rsid w:val="00673944"/>
    <w:rsid w:val="00675E9C"/>
    <w:rsid w:val="00676CB0"/>
    <w:rsid w:val="00677E9B"/>
    <w:rsid w:val="00680726"/>
    <w:rsid w:val="0068119D"/>
    <w:rsid w:val="00681976"/>
    <w:rsid w:val="006827D4"/>
    <w:rsid w:val="00683170"/>
    <w:rsid w:val="006832A7"/>
    <w:rsid w:val="00684BB2"/>
    <w:rsid w:val="00685785"/>
    <w:rsid w:val="006878BD"/>
    <w:rsid w:val="0069055B"/>
    <w:rsid w:val="00690E3F"/>
    <w:rsid w:val="006916C8"/>
    <w:rsid w:val="00693C09"/>
    <w:rsid w:val="0069412E"/>
    <w:rsid w:val="00695E59"/>
    <w:rsid w:val="00695F01"/>
    <w:rsid w:val="00696F97"/>
    <w:rsid w:val="006975B6"/>
    <w:rsid w:val="006A0663"/>
    <w:rsid w:val="006A182B"/>
    <w:rsid w:val="006A191C"/>
    <w:rsid w:val="006A3DB5"/>
    <w:rsid w:val="006A454B"/>
    <w:rsid w:val="006A4F6C"/>
    <w:rsid w:val="006A7F09"/>
    <w:rsid w:val="006B0477"/>
    <w:rsid w:val="006B2773"/>
    <w:rsid w:val="006B366F"/>
    <w:rsid w:val="006B414A"/>
    <w:rsid w:val="006B5FED"/>
    <w:rsid w:val="006C6DDB"/>
    <w:rsid w:val="006C7C9E"/>
    <w:rsid w:val="006C7FF3"/>
    <w:rsid w:val="006D2EFC"/>
    <w:rsid w:val="006D39C4"/>
    <w:rsid w:val="006D5877"/>
    <w:rsid w:val="006E22EF"/>
    <w:rsid w:val="006E470C"/>
    <w:rsid w:val="006E495B"/>
    <w:rsid w:val="006E6ECA"/>
    <w:rsid w:val="006F1242"/>
    <w:rsid w:val="006F15FF"/>
    <w:rsid w:val="006F5708"/>
    <w:rsid w:val="006F730D"/>
    <w:rsid w:val="00701A6E"/>
    <w:rsid w:val="00705927"/>
    <w:rsid w:val="00707F9D"/>
    <w:rsid w:val="00710924"/>
    <w:rsid w:val="007141FF"/>
    <w:rsid w:val="0071458D"/>
    <w:rsid w:val="0071463B"/>
    <w:rsid w:val="0071543B"/>
    <w:rsid w:val="00716517"/>
    <w:rsid w:val="0072020C"/>
    <w:rsid w:val="0072168C"/>
    <w:rsid w:val="00722FC8"/>
    <w:rsid w:val="00724801"/>
    <w:rsid w:val="00726CE2"/>
    <w:rsid w:val="00732955"/>
    <w:rsid w:val="00735395"/>
    <w:rsid w:val="00735940"/>
    <w:rsid w:val="007360B1"/>
    <w:rsid w:val="0074013E"/>
    <w:rsid w:val="007416AB"/>
    <w:rsid w:val="00743646"/>
    <w:rsid w:val="00744BAE"/>
    <w:rsid w:val="007457E5"/>
    <w:rsid w:val="0074694E"/>
    <w:rsid w:val="00746DDF"/>
    <w:rsid w:val="0074744A"/>
    <w:rsid w:val="00747CCE"/>
    <w:rsid w:val="00747D13"/>
    <w:rsid w:val="0075192D"/>
    <w:rsid w:val="0075257A"/>
    <w:rsid w:val="00752CFA"/>
    <w:rsid w:val="00754D02"/>
    <w:rsid w:val="00755ED2"/>
    <w:rsid w:val="00757B5F"/>
    <w:rsid w:val="0076283D"/>
    <w:rsid w:val="007631DF"/>
    <w:rsid w:val="00764F6B"/>
    <w:rsid w:val="00765B72"/>
    <w:rsid w:val="00770187"/>
    <w:rsid w:val="00771378"/>
    <w:rsid w:val="00771C06"/>
    <w:rsid w:val="007721C0"/>
    <w:rsid w:val="007751FC"/>
    <w:rsid w:val="00775D05"/>
    <w:rsid w:val="007767B9"/>
    <w:rsid w:val="007775CD"/>
    <w:rsid w:val="007810CF"/>
    <w:rsid w:val="00781B3F"/>
    <w:rsid w:val="007837E9"/>
    <w:rsid w:val="007849D9"/>
    <w:rsid w:val="00787C4B"/>
    <w:rsid w:val="00787DE9"/>
    <w:rsid w:val="00787FD6"/>
    <w:rsid w:val="007906AF"/>
    <w:rsid w:val="00792B0D"/>
    <w:rsid w:val="00792C81"/>
    <w:rsid w:val="0079562D"/>
    <w:rsid w:val="007A0CC4"/>
    <w:rsid w:val="007A4038"/>
    <w:rsid w:val="007A4546"/>
    <w:rsid w:val="007A5065"/>
    <w:rsid w:val="007A5971"/>
    <w:rsid w:val="007A6091"/>
    <w:rsid w:val="007A7DC3"/>
    <w:rsid w:val="007B1730"/>
    <w:rsid w:val="007B3917"/>
    <w:rsid w:val="007B466E"/>
    <w:rsid w:val="007B5614"/>
    <w:rsid w:val="007B594A"/>
    <w:rsid w:val="007C1B4A"/>
    <w:rsid w:val="007C1DA2"/>
    <w:rsid w:val="007C1FD9"/>
    <w:rsid w:val="007C284F"/>
    <w:rsid w:val="007C37FF"/>
    <w:rsid w:val="007C6A79"/>
    <w:rsid w:val="007D0186"/>
    <w:rsid w:val="007D1689"/>
    <w:rsid w:val="007D2949"/>
    <w:rsid w:val="007D2D2C"/>
    <w:rsid w:val="007D32CE"/>
    <w:rsid w:val="007D3C56"/>
    <w:rsid w:val="007D6775"/>
    <w:rsid w:val="007D7FCF"/>
    <w:rsid w:val="007E055C"/>
    <w:rsid w:val="007E0B3F"/>
    <w:rsid w:val="007E0D46"/>
    <w:rsid w:val="007E16EF"/>
    <w:rsid w:val="007E2026"/>
    <w:rsid w:val="007E2A3E"/>
    <w:rsid w:val="007E3A29"/>
    <w:rsid w:val="007E6879"/>
    <w:rsid w:val="007E6A31"/>
    <w:rsid w:val="007F04A6"/>
    <w:rsid w:val="007F0BBF"/>
    <w:rsid w:val="007F10AE"/>
    <w:rsid w:val="007F3721"/>
    <w:rsid w:val="007F619D"/>
    <w:rsid w:val="007F7A61"/>
    <w:rsid w:val="00800B17"/>
    <w:rsid w:val="00800F27"/>
    <w:rsid w:val="00801EDE"/>
    <w:rsid w:val="0080292F"/>
    <w:rsid w:val="00803715"/>
    <w:rsid w:val="00804114"/>
    <w:rsid w:val="008051B0"/>
    <w:rsid w:val="00805890"/>
    <w:rsid w:val="00805AF2"/>
    <w:rsid w:val="00806AC2"/>
    <w:rsid w:val="00810A55"/>
    <w:rsid w:val="00811687"/>
    <w:rsid w:val="008119C2"/>
    <w:rsid w:val="00813031"/>
    <w:rsid w:val="008131D5"/>
    <w:rsid w:val="00815AC6"/>
    <w:rsid w:val="00821FE4"/>
    <w:rsid w:val="00823473"/>
    <w:rsid w:val="00825CBA"/>
    <w:rsid w:val="008262BA"/>
    <w:rsid w:val="00827309"/>
    <w:rsid w:val="0082734F"/>
    <w:rsid w:val="00827B3C"/>
    <w:rsid w:val="00827D22"/>
    <w:rsid w:val="00832EFB"/>
    <w:rsid w:val="0083387E"/>
    <w:rsid w:val="00833E1C"/>
    <w:rsid w:val="008345EB"/>
    <w:rsid w:val="008349C1"/>
    <w:rsid w:val="00834A22"/>
    <w:rsid w:val="00834A26"/>
    <w:rsid w:val="00841923"/>
    <w:rsid w:val="008462C1"/>
    <w:rsid w:val="008462C5"/>
    <w:rsid w:val="00847781"/>
    <w:rsid w:val="00847F09"/>
    <w:rsid w:val="00847FEB"/>
    <w:rsid w:val="0085006B"/>
    <w:rsid w:val="00850254"/>
    <w:rsid w:val="00850399"/>
    <w:rsid w:val="008535CF"/>
    <w:rsid w:val="00855BB5"/>
    <w:rsid w:val="0085743A"/>
    <w:rsid w:val="0085784F"/>
    <w:rsid w:val="008607B7"/>
    <w:rsid w:val="008633F2"/>
    <w:rsid w:val="00863D0D"/>
    <w:rsid w:val="008645A7"/>
    <w:rsid w:val="008658B7"/>
    <w:rsid w:val="00865B2B"/>
    <w:rsid w:val="00866307"/>
    <w:rsid w:val="00872038"/>
    <w:rsid w:val="0087290E"/>
    <w:rsid w:val="00872D97"/>
    <w:rsid w:val="00874ECC"/>
    <w:rsid w:val="00876218"/>
    <w:rsid w:val="00877811"/>
    <w:rsid w:val="0088130A"/>
    <w:rsid w:val="0088179A"/>
    <w:rsid w:val="0088201C"/>
    <w:rsid w:val="008821AA"/>
    <w:rsid w:val="008837E7"/>
    <w:rsid w:val="00884DFD"/>
    <w:rsid w:val="008863EC"/>
    <w:rsid w:val="0088791A"/>
    <w:rsid w:val="00893F06"/>
    <w:rsid w:val="0089476D"/>
    <w:rsid w:val="0089536D"/>
    <w:rsid w:val="00896054"/>
    <w:rsid w:val="0089621B"/>
    <w:rsid w:val="0089644A"/>
    <w:rsid w:val="00896E7B"/>
    <w:rsid w:val="0089795D"/>
    <w:rsid w:val="00897FD7"/>
    <w:rsid w:val="008A151D"/>
    <w:rsid w:val="008A1DD4"/>
    <w:rsid w:val="008A448F"/>
    <w:rsid w:val="008A5EF8"/>
    <w:rsid w:val="008A7705"/>
    <w:rsid w:val="008A7ECC"/>
    <w:rsid w:val="008B0EC2"/>
    <w:rsid w:val="008B10AD"/>
    <w:rsid w:val="008B4E3F"/>
    <w:rsid w:val="008B66B9"/>
    <w:rsid w:val="008C176C"/>
    <w:rsid w:val="008C34C4"/>
    <w:rsid w:val="008C34F5"/>
    <w:rsid w:val="008D116B"/>
    <w:rsid w:val="008D1317"/>
    <w:rsid w:val="008D2366"/>
    <w:rsid w:val="008D2B2F"/>
    <w:rsid w:val="008D3797"/>
    <w:rsid w:val="008D76C4"/>
    <w:rsid w:val="008E22CE"/>
    <w:rsid w:val="008E2BD6"/>
    <w:rsid w:val="008E4460"/>
    <w:rsid w:val="008F0A82"/>
    <w:rsid w:val="008F0F2C"/>
    <w:rsid w:val="008F3FF5"/>
    <w:rsid w:val="008F6D4A"/>
    <w:rsid w:val="008F6DD5"/>
    <w:rsid w:val="00903EFF"/>
    <w:rsid w:val="00905C26"/>
    <w:rsid w:val="009062BF"/>
    <w:rsid w:val="009108EA"/>
    <w:rsid w:val="00911B22"/>
    <w:rsid w:val="009135CD"/>
    <w:rsid w:val="009202C5"/>
    <w:rsid w:val="0092157E"/>
    <w:rsid w:val="0092684F"/>
    <w:rsid w:val="00942541"/>
    <w:rsid w:val="00942895"/>
    <w:rsid w:val="00944895"/>
    <w:rsid w:val="00945D10"/>
    <w:rsid w:val="00945D72"/>
    <w:rsid w:val="009469ED"/>
    <w:rsid w:val="00947AF4"/>
    <w:rsid w:val="00951FAE"/>
    <w:rsid w:val="00954E24"/>
    <w:rsid w:val="009573DE"/>
    <w:rsid w:val="00961027"/>
    <w:rsid w:val="0096148A"/>
    <w:rsid w:val="00961B0F"/>
    <w:rsid w:val="00961DCD"/>
    <w:rsid w:val="00963753"/>
    <w:rsid w:val="00966FF4"/>
    <w:rsid w:val="00970F30"/>
    <w:rsid w:val="00974607"/>
    <w:rsid w:val="009751A2"/>
    <w:rsid w:val="00976980"/>
    <w:rsid w:val="009775D3"/>
    <w:rsid w:val="0098527F"/>
    <w:rsid w:val="00986758"/>
    <w:rsid w:val="00986851"/>
    <w:rsid w:val="009872AC"/>
    <w:rsid w:val="009928AF"/>
    <w:rsid w:val="00994F78"/>
    <w:rsid w:val="00995CA0"/>
    <w:rsid w:val="00995F83"/>
    <w:rsid w:val="009A1DB3"/>
    <w:rsid w:val="009A6762"/>
    <w:rsid w:val="009A79A7"/>
    <w:rsid w:val="009B4733"/>
    <w:rsid w:val="009B509A"/>
    <w:rsid w:val="009B6AC6"/>
    <w:rsid w:val="009B73BA"/>
    <w:rsid w:val="009C2067"/>
    <w:rsid w:val="009C2BF8"/>
    <w:rsid w:val="009C3047"/>
    <w:rsid w:val="009C46C0"/>
    <w:rsid w:val="009C5A76"/>
    <w:rsid w:val="009D039A"/>
    <w:rsid w:val="009D2019"/>
    <w:rsid w:val="009D7335"/>
    <w:rsid w:val="009E0562"/>
    <w:rsid w:val="009E270B"/>
    <w:rsid w:val="009E2A5C"/>
    <w:rsid w:val="009E40AB"/>
    <w:rsid w:val="009F04F7"/>
    <w:rsid w:val="009F064A"/>
    <w:rsid w:val="009F3430"/>
    <w:rsid w:val="009F49CC"/>
    <w:rsid w:val="009F5504"/>
    <w:rsid w:val="009F780B"/>
    <w:rsid w:val="00A038BD"/>
    <w:rsid w:val="00A04050"/>
    <w:rsid w:val="00A04A8D"/>
    <w:rsid w:val="00A062B7"/>
    <w:rsid w:val="00A10CF2"/>
    <w:rsid w:val="00A1217A"/>
    <w:rsid w:val="00A14B27"/>
    <w:rsid w:val="00A15463"/>
    <w:rsid w:val="00A1697E"/>
    <w:rsid w:val="00A17017"/>
    <w:rsid w:val="00A1780C"/>
    <w:rsid w:val="00A20352"/>
    <w:rsid w:val="00A24738"/>
    <w:rsid w:val="00A310E3"/>
    <w:rsid w:val="00A31F77"/>
    <w:rsid w:val="00A333EC"/>
    <w:rsid w:val="00A3631F"/>
    <w:rsid w:val="00A365E5"/>
    <w:rsid w:val="00A36EEE"/>
    <w:rsid w:val="00A427FF"/>
    <w:rsid w:val="00A43E17"/>
    <w:rsid w:val="00A4699F"/>
    <w:rsid w:val="00A46C2F"/>
    <w:rsid w:val="00A470B4"/>
    <w:rsid w:val="00A477BB"/>
    <w:rsid w:val="00A503EE"/>
    <w:rsid w:val="00A50DBD"/>
    <w:rsid w:val="00A51AB7"/>
    <w:rsid w:val="00A51AEE"/>
    <w:rsid w:val="00A56285"/>
    <w:rsid w:val="00A56ACB"/>
    <w:rsid w:val="00A62431"/>
    <w:rsid w:val="00A628DC"/>
    <w:rsid w:val="00A629CF"/>
    <w:rsid w:val="00A631EE"/>
    <w:rsid w:val="00A6489A"/>
    <w:rsid w:val="00A66578"/>
    <w:rsid w:val="00A67592"/>
    <w:rsid w:val="00A7217F"/>
    <w:rsid w:val="00A722F9"/>
    <w:rsid w:val="00A75F95"/>
    <w:rsid w:val="00A76652"/>
    <w:rsid w:val="00A81323"/>
    <w:rsid w:val="00A81822"/>
    <w:rsid w:val="00A834B0"/>
    <w:rsid w:val="00A83570"/>
    <w:rsid w:val="00A87631"/>
    <w:rsid w:val="00A87662"/>
    <w:rsid w:val="00A911B3"/>
    <w:rsid w:val="00A91560"/>
    <w:rsid w:val="00A92B34"/>
    <w:rsid w:val="00A935E1"/>
    <w:rsid w:val="00A9452D"/>
    <w:rsid w:val="00A97D7A"/>
    <w:rsid w:val="00AA2ADD"/>
    <w:rsid w:val="00AA66A4"/>
    <w:rsid w:val="00AA6BB1"/>
    <w:rsid w:val="00AB143A"/>
    <w:rsid w:val="00AB1DC9"/>
    <w:rsid w:val="00AB346B"/>
    <w:rsid w:val="00AB3DA3"/>
    <w:rsid w:val="00AB6691"/>
    <w:rsid w:val="00AB69A8"/>
    <w:rsid w:val="00AC3BE3"/>
    <w:rsid w:val="00AC40E9"/>
    <w:rsid w:val="00AC4BF6"/>
    <w:rsid w:val="00AC55D3"/>
    <w:rsid w:val="00AC7298"/>
    <w:rsid w:val="00AD07FF"/>
    <w:rsid w:val="00AD0975"/>
    <w:rsid w:val="00AD0CC9"/>
    <w:rsid w:val="00AD3561"/>
    <w:rsid w:val="00AD6ECE"/>
    <w:rsid w:val="00AE0248"/>
    <w:rsid w:val="00AE31DE"/>
    <w:rsid w:val="00AE4280"/>
    <w:rsid w:val="00AE4397"/>
    <w:rsid w:val="00AE4EDF"/>
    <w:rsid w:val="00AE6CF9"/>
    <w:rsid w:val="00AF027D"/>
    <w:rsid w:val="00AF0AF7"/>
    <w:rsid w:val="00AF3112"/>
    <w:rsid w:val="00AF39EF"/>
    <w:rsid w:val="00AF3BD4"/>
    <w:rsid w:val="00AF53B1"/>
    <w:rsid w:val="00AF5FE0"/>
    <w:rsid w:val="00B004A7"/>
    <w:rsid w:val="00B01F5A"/>
    <w:rsid w:val="00B051DC"/>
    <w:rsid w:val="00B05B4B"/>
    <w:rsid w:val="00B12744"/>
    <w:rsid w:val="00B149E8"/>
    <w:rsid w:val="00B15138"/>
    <w:rsid w:val="00B1601E"/>
    <w:rsid w:val="00B236AB"/>
    <w:rsid w:val="00B2608C"/>
    <w:rsid w:val="00B313B9"/>
    <w:rsid w:val="00B323BC"/>
    <w:rsid w:val="00B36777"/>
    <w:rsid w:val="00B41C4B"/>
    <w:rsid w:val="00B436B5"/>
    <w:rsid w:val="00B464B6"/>
    <w:rsid w:val="00B469BD"/>
    <w:rsid w:val="00B542D6"/>
    <w:rsid w:val="00B559BD"/>
    <w:rsid w:val="00B60555"/>
    <w:rsid w:val="00B611FF"/>
    <w:rsid w:val="00B63B48"/>
    <w:rsid w:val="00B64E62"/>
    <w:rsid w:val="00B6636F"/>
    <w:rsid w:val="00B71281"/>
    <w:rsid w:val="00B75072"/>
    <w:rsid w:val="00B75CA2"/>
    <w:rsid w:val="00B76859"/>
    <w:rsid w:val="00B77D64"/>
    <w:rsid w:val="00B81D3B"/>
    <w:rsid w:val="00B82A16"/>
    <w:rsid w:val="00B837B0"/>
    <w:rsid w:val="00B83B06"/>
    <w:rsid w:val="00B83D3E"/>
    <w:rsid w:val="00B83E2D"/>
    <w:rsid w:val="00B84ED6"/>
    <w:rsid w:val="00B9653D"/>
    <w:rsid w:val="00B96663"/>
    <w:rsid w:val="00B9693F"/>
    <w:rsid w:val="00B96CCC"/>
    <w:rsid w:val="00BA1DDA"/>
    <w:rsid w:val="00BA2B54"/>
    <w:rsid w:val="00BA3155"/>
    <w:rsid w:val="00BA62D1"/>
    <w:rsid w:val="00BB1EBE"/>
    <w:rsid w:val="00BB32F1"/>
    <w:rsid w:val="00BB34EC"/>
    <w:rsid w:val="00BB541A"/>
    <w:rsid w:val="00BB746E"/>
    <w:rsid w:val="00BB75C9"/>
    <w:rsid w:val="00BC0195"/>
    <w:rsid w:val="00BC092A"/>
    <w:rsid w:val="00BC219B"/>
    <w:rsid w:val="00BC38AF"/>
    <w:rsid w:val="00BC563E"/>
    <w:rsid w:val="00BC6303"/>
    <w:rsid w:val="00BD27C7"/>
    <w:rsid w:val="00BD2F67"/>
    <w:rsid w:val="00BD4529"/>
    <w:rsid w:val="00BD48C8"/>
    <w:rsid w:val="00BD52D5"/>
    <w:rsid w:val="00BD5C72"/>
    <w:rsid w:val="00BD6701"/>
    <w:rsid w:val="00BE1906"/>
    <w:rsid w:val="00BE217B"/>
    <w:rsid w:val="00BE42B1"/>
    <w:rsid w:val="00BE7562"/>
    <w:rsid w:val="00BF0D1A"/>
    <w:rsid w:val="00BF211E"/>
    <w:rsid w:val="00BF3FDB"/>
    <w:rsid w:val="00BF47F5"/>
    <w:rsid w:val="00BF5385"/>
    <w:rsid w:val="00BF5E77"/>
    <w:rsid w:val="00BF69E5"/>
    <w:rsid w:val="00BF75ED"/>
    <w:rsid w:val="00BF7965"/>
    <w:rsid w:val="00BF7DC8"/>
    <w:rsid w:val="00C0115F"/>
    <w:rsid w:val="00C02F91"/>
    <w:rsid w:val="00C04B65"/>
    <w:rsid w:val="00C06539"/>
    <w:rsid w:val="00C06895"/>
    <w:rsid w:val="00C0755A"/>
    <w:rsid w:val="00C112C6"/>
    <w:rsid w:val="00C12D1C"/>
    <w:rsid w:val="00C132CB"/>
    <w:rsid w:val="00C13B3B"/>
    <w:rsid w:val="00C212AC"/>
    <w:rsid w:val="00C2276D"/>
    <w:rsid w:val="00C23E90"/>
    <w:rsid w:val="00C27F55"/>
    <w:rsid w:val="00C3522E"/>
    <w:rsid w:val="00C36927"/>
    <w:rsid w:val="00C37380"/>
    <w:rsid w:val="00C37A6C"/>
    <w:rsid w:val="00C40E7E"/>
    <w:rsid w:val="00C43BBF"/>
    <w:rsid w:val="00C458B6"/>
    <w:rsid w:val="00C50D14"/>
    <w:rsid w:val="00C51A14"/>
    <w:rsid w:val="00C51FBD"/>
    <w:rsid w:val="00C52E80"/>
    <w:rsid w:val="00C542E3"/>
    <w:rsid w:val="00C548AC"/>
    <w:rsid w:val="00C55AEB"/>
    <w:rsid w:val="00C55CF3"/>
    <w:rsid w:val="00C56407"/>
    <w:rsid w:val="00C5735D"/>
    <w:rsid w:val="00C57C7A"/>
    <w:rsid w:val="00C57D2C"/>
    <w:rsid w:val="00C609BA"/>
    <w:rsid w:val="00C61001"/>
    <w:rsid w:val="00C62317"/>
    <w:rsid w:val="00C62470"/>
    <w:rsid w:val="00C6361C"/>
    <w:rsid w:val="00C63F54"/>
    <w:rsid w:val="00C65912"/>
    <w:rsid w:val="00C66217"/>
    <w:rsid w:val="00C66725"/>
    <w:rsid w:val="00C6674B"/>
    <w:rsid w:val="00C6781D"/>
    <w:rsid w:val="00C71685"/>
    <w:rsid w:val="00C73EB6"/>
    <w:rsid w:val="00C743F8"/>
    <w:rsid w:val="00C75DE4"/>
    <w:rsid w:val="00C75F62"/>
    <w:rsid w:val="00C804E5"/>
    <w:rsid w:val="00C807E8"/>
    <w:rsid w:val="00C80E9C"/>
    <w:rsid w:val="00C82230"/>
    <w:rsid w:val="00C824E0"/>
    <w:rsid w:val="00C8470F"/>
    <w:rsid w:val="00C85459"/>
    <w:rsid w:val="00C867E7"/>
    <w:rsid w:val="00C91559"/>
    <w:rsid w:val="00C94463"/>
    <w:rsid w:val="00C94957"/>
    <w:rsid w:val="00C950F8"/>
    <w:rsid w:val="00C95A72"/>
    <w:rsid w:val="00CA2BDC"/>
    <w:rsid w:val="00CA7A83"/>
    <w:rsid w:val="00CA7DAF"/>
    <w:rsid w:val="00CB01F8"/>
    <w:rsid w:val="00CB2767"/>
    <w:rsid w:val="00CB3653"/>
    <w:rsid w:val="00CB3C9F"/>
    <w:rsid w:val="00CB692D"/>
    <w:rsid w:val="00CC18D9"/>
    <w:rsid w:val="00CC1E5F"/>
    <w:rsid w:val="00CC36D2"/>
    <w:rsid w:val="00CC3C4B"/>
    <w:rsid w:val="00CC4F12"/>
    <w:rsid w:val="00CC538E"/>
    <w:rsid w:val="00CC5A86"/>
    <w:rsid w:val="00CD56E3"/>
    <w:rsid w:val="00CE080A"/>
    <w:rsid w:val="00CE0F4A"/>
    <w:rsid w:val="00CE163A"/>
    <w:rsid w:val="00CE17D0"/>
    <w:rsid w:val="00CE1D53"/>
    <w:rsid w:val="00CE20E1"/>
    <w:rsid w:val="00CE46F0"/>
    <w:rsid w:val="00CE5644"/>
    <w:rsid w:val="00CE6825"/>
    <w:rsid w:val="00CF3398"/>
    <w:rsid w:val="00CF3F42"/>
    <w:rsid w:val="00CF57A2"/>
    <w:rsid w:val="00CF6782"/>
    <w:rsid w:val="00CF6CE5"/>
    <w:rsid w:val="00CF77A2"/>
    <w:rsid w:val="00D0130C"/>
    <w:rsid w:val="00D05940"/>
    <w:rsid w:val="00D066FD"/>
    <w:rsid w:val="00D07961"/>
    <w:rsid w:val="00D1077A"/>
    <w:rsid w:val="00D118B2"/>
    <w:rsid w:val="00D128EB"/>
    <w:rsid w:val="00D16214"/>
    <w:rsid w:val="00D17377"/>
    <w:rsid w:val="00D20918"/>
    <w:rsid w:val="00D2314D"/>
    <w:rsid w:val="00D24C30"/>
    <w:rsid w:val="00D25299"/>
    <w:rsid w:val="00D2534A"/>
    <w:rsid w:val="00D26522"/>
    <w:rsid w:val="00D349DD"/>
    <w:rsid w:val="00D40310"/>
    <w:rsid w:val="00D42A07"/>
    <w:rsid w:val="00D441A5"/>
    <w:rsid w:val="00D45624"/>
    <w:rsid w:val="00D5146F"/>
    <w:rsid w:val="00D51EFF"/>
    <w:rsid w:val="00D548BF"/>
    <w:rsid w:val="00D561AE"/>
    <w:rsid w:val="00D61C9E"/>
    <w:rsid w:val="00D64E37"/>
    <w:rsid w:val="00D6686F"/>
    <w:rsid w:val="00D70219"/>
    <w:rsid w:val="00D70D45"/>
    <w:rsid w:val="00D72C57"/>
    <w:rsid w:val="00D730AE"/>
    <w:rsid w:val="00D7311F"/>
    <w:rsid w:val="00D745DE"/>
    <w:rsid w:val="00D7751C"/>
    <w:rsid w:val="00D77DE7"/>
    <w:rsid w:val="00D8072D"/>
    <w:rsid w:val="00D8259F"/>
    <w:rsid w:val="00D83BDE"/>
    <w:rsid w:val="00D84ED7"/>
    <w:rsid w:val="00D860FE"/>
    <w:rsid w:val="00D87345"/>
    <w:rsid w:val="00D91046"/>
    <w:rsid w:val="00D916E1"/>
    <w:rsid w:val="00D921CD"/>
    <w:rsid w:val="00D939F6"/>
    <w:rsid w:val="00D976D6"/>
    <w:rsid w:val="00DA18A6"/>
    <w:rsid w:val="00DA1C90"/>
    <w:rsid w:val="00DA4735"/>
    <w:rsid w:val="00DA6446"/>
    <w:rsid w:val="00DB19F9"/>
    <w:rsid w:val="00DB2AFB"/>
    <w:rsid w:val="00DB6E9B"/>
    <w:rsid w:val="00DB7893"/>
    <w:rsid w:val="00DC16FD"/>
    <w:rsid w:val="00DC1916"/>
    <w:rsid w:val="00DC2276"/>
    <w:rsid w:val="00DC25DC"/>
    <w:rsid w:val="00DC342E"/>
    <w:rsid w:val="00DC396B"/>
    <w:rsid w:val="00DC41DB"/>
    <w:rsid w:val="00DC53AE"/>
    <w:rsid w:val="00DC61F4"/>
    <w:rsid w:val="00DC6AF3"/>
    <w:rsid w:val="00DD0732"/>
    <w:rsid w:val="00DD4C90"/>
    <w:rsid w:val="00DD64B6"/>
    <w:rsid w:val="00DD6A20"/>
    <w:rsid w:val="00DD7240"/>
    <w:rsid w:val="00DE03F0"/>
    <w:rsid w:val="00DE0E0B"/>
    <w:rsid w:val="00DE0F15"/>
    <w:rsid w:val="00DE424C"/>
    <w:rsid w:val="00DE5100"/>
    <w:rsid w:val="00DE66FE"/>
    <w:rsid w:val="00DF0CBD"/>
    <w:rsid w:val="00DF4D77"/>
    <w:rsid w:val="00DF503D"/>
    <w:rsid w:val="00E00948"/>
    <w:rsid w:val="00E0368F"/>
    <w:rsid w:val="00E04B18"/>
    <w:rsid w:val="00E05A6C"/>
    <w:rsid w:val="00E06B7D"/>
    <w:rsid w:val="00E100F2"/>
    <w:rsid w:val="00E1182E"/>
    <w:rsid w:val="00E127E8"/>
    <w:rsid w:val="00E12A39"/>
    <w:rsid w:val="00E164B5"/>
    <w:rsid w:val="00E16564"/>
    <w:rsid w:val="00E21FB4"/>
    <w:rsid w:val="00E22135"/>
    <w:rsid w:val="00E221FF"/>
    <w:rsid w:val="00E2293E"/>
    <w:rsid w:val="00E23DA0"/>
    <w:rsid w:val="00E26F32"/>
    <w:rsid w:val="00E300C4"/>
    <w:rsid w:val="00E32F62"/>
    <w:rsid w:val="00E355EA"/>
    <w:rsid w:val="00E3563D"/>
    <w:rsid w:val="00E35BB1"/>
    <w:rsid w:val="00E36710"/>
    <w:rsid w:val="00E37C17"/>
    <w:rsid w:val="00E40691"/>
    <w:rsid w:val="00E40874"/>
    <w:rsid w:val="00E40FB2"/>
    <w:rsid w:val="00E4360E"/>
    <w:rsid w:val="00E44CCA"/>
    <w:rsid w:val="00E47CEB"/>
    <w:rsid w:val="00E50FD4"/>
    <w:rsid w:val="00E51030"/>
    <w:rsid w:val="00E51600"/>
    <w:rsid w:val="00E5747A"/>
    <w:rsid w:val="00E575E6"/>
    <w:rsid w:val="00E60AD7"/>
    <w:rsid w:val="00E60EDF"/>
    <w:rsid w:val="00E641BF"/>
    <w:rsid w:val="00E660FE"/>
    <w:rsid w:val="00E6726A"/>
    <w:rsid w:val="00E7105E"/>
    <w:rsid w:val="00E71312"/>
    <w:rsid w:val="00E72A88"/>
    <w:rsid w:val="00E72CF0"/>
    <w:rsid w:val="00E74325"/>
    <w:rsid w:val="00E75FEB"/>
    <w:rsid w:val="00E7715A"/>
    <w:rsid w:val="00E77635"/>
    <w:rsid w:val="00E817F0"/>
    <w:rsid w:val="00E842EE"/>
    <w:rsid w:val="00E84AAD"/>
    <w:rsid w:val="00E874A9"/>
    <w:rsid w:val="00E9157C"/>
    <w:rsid w:val="00E91A5C"/>
    <w:rsid w:val="00E9254D"/>
    <w:rsid w:val="00E94D0E"/>
    <w:rsid w:val="00E96238"/>
    <w:rsid w:val="00EA1ACB"/>
    <w:rsid w:val="00EA2307"/>
    <w:rsid w:val="00EA3AA8"/>
    <w:rsid w:val="00EA3C16"/>
    <w:rsid w:val="00EA4B94"/>
    <w:rsid w:val="00EA6172"/>
    <w:rsid w:val="00EB24B2"/>
    <w:rsid w:val="00EB339B"/>
    <w:rsid w:val="00EB3F08"/>
    <w:rsid w:val="00EB591E"/>
    <w:rsid w:val="00EB69AA"/>
    <w:rsid w:val="00EC1A77"/>
    <w:rsid w:val="00EC6925"/>
    <w:rsid w:val="00EC6CBE"/>
    <w:rsid w:val="00ED42E9"/>
    <w:rsid w:val="00ED62E2"/>
    <w:rsid w:val="00ED6E5A"/>
    <w:rsid w:val="00ED6EA4"/>
    <w:rsid w:val="00ED78C0"/>
    <w:rsid w:val="00EE34F6"/>
    <w:rsid w:val="00EE4DF6"/>
    <w:rsid w:val="00EE6C7C"/>
    <w:rsid w:val="00EF0693"/>
    <w:rsid w:val="00EF23B8"/>
    <w:rsid w:val="00EF4262"/>
    <w:rsid w:val="00EF4DAE"/>
    <w:rsid w:val="00EF5245"/>
    <w:rsid w:val="00EF6463"/>
    <w:rsid w:val="00EF654F"/>
    <w:rsid w:val="00EF6EF9"/>
    <w:rsid w:val="00F020FC"/>
    <w:rsid w:val="00F035A0"/>
    <w:rsid w:val="00F043E1"/>
    <w:rsid w:val="00F050B4"/>
    <w:rsid w:val="00F06CA7"/>
    <w:rsid w:val="00F10C2C"/>
    <w:rsid w:val="00F11F91"/>
    <w:rsid w:val="00F13428"/>
    <w:rsid w:val="00F1547A"/>
    <w:rsid w:val="00F15AED"/>
    <w:rsid w:val="00F168CB"/>
    <w:rsid w:val="00F226D8"/>
    <w:rsid w:val="00F23056"/>
    <w:rsid w:val="00F23806"/>
    <w:rsid w:val="00F26831"/>
    <w:rsid w:val="00F26BD9"/>
    <w:rsid w:val="00F30EFB"/>
    <w:rsid w:val="00F34E1E"/>
    <w:rsid w:val="00F35494"/>
    <w:rsid w:val="00F3689A"/>
    <w:rsid w:val="00F376DE"/>
    <w:rsid w:val="00F40125"/>
    <w:rsid w:val="00F4069D"/>
    <w:rsid w:val="00F40DE4"/>
    <w:rsid w:val="00F412D4"/>
    <w:rsid w:val="00F420C8"/>
    <w:rsid w:val="00F43E0E"/>
    <w:rsid w:val="00F45585"/>
    <w:rsid w:val="00F46CCC"/>
    <w:rsid w:val="00F504A0"/>
    <w:rsid w:val="00F5127B"/>
    <w:rsid w:val="00F54EFD"/>
    <w:rsid w:val="00F57F1B"/>
    <w:rsid w:val="00F602CF"/>
    <w:rsid w:val="00F62C68"/>
    <w:rsid w:val="00F632C4"/>
    <w:rsid w:val="00F652A7"/>
    <w:rsid w:val="00F70D66"/>
    <w:rsid w:val="00F71D1D"/>
    <w:rsid w:val="00F74526"/>
    <w:rsid w:val="00F772AF"/>
    <w:rsid w:val="00F81529"/>
    <w:rsid w:val="00F816DF"/>
    <w:rsid w:val="00F8654D"/>
    <w:rsid w:val="00F937EA"/>
    <w:rsid w:val="00F93E7E"/>
    <w:rsid w:val="00F95726"/>
    <w:rsid w:val="00F97A4E"/>
    <w:rsid w:val="00FA040B"/>
    <w:rsid w:val="00FA0E8E"/>
    <w:rsid w:val="00FA23A6"/>
    <w:rsid w:val="00FA5214"/>
    <w:rsid w:val="00FA52FA"/>
    <w:rsid w:val="00FA61FE"/>
    <w:rsid w:val="00FB1C0D"/>
    <w:rsid w:val="00FC2897"/>
    <w:rsid w:val="00FC2D0D"/>
    <w:rsid w:val="00FC5105"/>
    <w:rsid w:val="00FD050B"/>
    <w:rsid w:val="00FD1C99"/>
    <w:rsid w:val="00FD1D03"/>
    <w:rsid w:val="00FD334A"/>
    <w:rsid w:val="00FD593E"/>
    <w:rsid w:val="00FD621E"/>
    <w:rsid w:val="00FD6752"/>
    <w:rsid w:val="00FD67F6"/>
    <w:rsid w:val="00FE1EF8"/>
    <w:rsid w:val="00FE25F9"/>
    <w:rsid w:val="00FE28F2"/>
    <w:rsid w:val="00FE290E"/>
    <w:rsid w:val="00FE3510"/>
    <w:rsid w:val="00FE75F9"/>
    <w:rsid w:val="00FF096C"/>
    <w:rsid w:val="00FF560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196A5"/>
  <w15:docId w15:val="{A20A6EF8-E663-44C5-A8EC-913E67A9A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B52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B52C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styleId="PargrafodaLista">
    <w:name w:val="List Paragraph"/>
    <w:basedOn w:val="Normal"/>
    <w:rsid w:val="005B52C0"/>
    <w:pPr>
      <w:ind w:left="720"/>
    </w:pPr>
  </w:style>
  <w:style w:type="paragraph" w:styleId="Rodap">
    <w:name w:val="footer"/>
    <w:basedOn w:val="Normal"/>
    <w:link w:val="Rodap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B52C0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52C0"/>
    <w:rPr>
      <w:rFonts w:ascii="Tahoma" w:eastAsia="Arial Unicode MS" w:hAnsi="Tahoma" w:cs="Tahoma"/>
      <w:kern w:val="3"/>
      <w:sz w:val="16"/>
      <w:szCs w:val="16"/>
      <w:lang w:val="en-CA" w:eastAsia="pt-BR"/>
    </w:rPr>
  </w:style>
  <w:style w:type="paragraph" w:styleId="Cabealho">
    <w:name w:val="header"/>
    <w:basedOn w:val="Normal"/>
    <w:link w:val="Cabealho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table" w:styleId="Tabelacomgrade">
    <w:name w:val="Table Grid"/>
    <w:basedOn w:val="Tabelanormal"/>
    <w:uiPriority w:val="59"/>
    <w:rsid w:val="00E60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1670CC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670CC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670CC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670C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670CC"/>
    <w:rPr>
      <w:rFonts w:ascii="Times New Roman" w:eastAsia="Arial Unicode MS" w:hAnsi="Times New Roman" w:cs="Tahoma"/>
      <w:b/>
      <w:bCs/>
      <w:kern w:val="3"/>
      <w:sz w:val="20"/>
      <w:szCs w:val="20"/>
      <w:lang w:val="en-CA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1173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5</cp:revision>
  <cp:lastPrinted>2012-11-05T15:27:00Z</cp:lastPrinted>
  <dcterms:created xsi:type="dcterms:W3CDTF">2012-11-08T13:48:00Z</dcterms:created>
  <dcterms:modified xsi:type="dcterms:W3CDTF">2013-08-12T17:09:00Z</dcterms:modified>
</cp:coreProperties>
</file>