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038FD" w14:textId="77777777" w:rsidR="00A963E3" w:rsidRDefault="00A83072" w:rsidP="00A963E3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8"/>
          <w:szCs w:val="28"/>
        </w:rPr>
      </w:pPr>
      <w:r w:rsidRPr="00A963E3"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3DBC63" wp14:editId="0E70EF12">
                <wp:simplePos x="0" y="0"/>
                <wp:positionH relativeFrom="column">
                  <wp:posOffset>-17526</wp:posOffset>
                </wp:positionH>
                <wp:positionV relativeFrom="paragraph">
                  <wp:posOffset>-146050</wp:posOffset>
                </wp:positionV>
                <wp:extent cx="57213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13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E19B3E" w14:textId="77777777" w:rsidR="00A83072" w:rsidRPr="001F49D1" w:rsidRDefault="00A83072" w:rsidP="00A83072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7B0D669F" w14:textId="77777777" w:rsidR="00A83072" w:rsidRPr="001F49D1" w:rsidRDefault="00A83072" w:rsidP="00A83072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0</w:t>
                            </w:r>
                            <w:r w:rsidR="00A963E3">
                              <w:rPr>
                                <w:rFonts w:ascii="Verdana" w:hAnsi="Verdana"/>
                              </w:rPr>
                              <w:t>3</w:t>
                            </w:r>
                            <w:r w:rsidR="009317FB">
                              <w:rPr>
                                <w:rFonts w:ascii="Verdana" w:hAnsi="Verdana"/>
                              </w:rPr>
                              <w:t>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DBC63" id="Caixa de texto 20" o:spid="_x0000_s1026" style="position:absolute;left:0;text-align:left;margin-left:-1.4pt;margin-top:-11.5pt;width:45.0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213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" adj="-11796480,,5400" path="m,l500167,r71968,71968l572135,431800,,431800,,xe" fillcolor="white [3201]" strokeweight=".5pt">
                <v:stroke joinstyle="miter"/>
                <v:formulas/>
                <v:path arrowok="t" o:connecttype="custom" o:connectlocs="0,0;500167,0;572135,71968;572135,431800;0,431800;0,0" o:connectangles="0,0,0,0,0,0" textboxrect="0,0,572135,431800"/>
                <v:textbox>
                  <w:txbxContent>
                    <w:p w14:paraId="45E19B3E" w14:textId="77777777" w:rsidR="00A83072" w:rsidRPr="001F49D1" w:rsidRDefault="00A83072" w:rsidP="00A83072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7B0D669F" w14:textId="77777777" w:rsidR="00A83072" w:rsidRPr="001F49D1" w:rsidRDefault="00A83072" w:rsidP="00A83072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0</w:t>
                      </w:r>
                      <w:r w:rsidR="00A963E3">
                        <w:rPr>
                          <w:rFonts w:ascii="Verdana" w:hAnsi="Verdana"/>
                        </w:rPr>
                        <w:t>3</w:t>
                      </w:r>
                      <w:r w:rsidR="009317FB">
                        <w:rPr>
                          <w:rFonts w:ascii="Verdana" w:hAnsi="Verdana"/>
                        </w:rP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  <w:r w:rsidR="00A963E3" w:rsidRPr="00A963E3">
        <w:rPr>
          <w:rFonts w:ascii="Verdana" w:hAnsi="Verdana"/>
          <w:b/>
          <w:bCs/>
          <w:iCs/>
          <w:color w:val="000000"/>
          <w:sz w:val="28"/>
          <w:szCs w:val="28"/>
        </w:rPr>
        <w:t xml:space="preserve">Conceitos </w:t>
      </w:r>
      <w:r w:rsidR="00A963E3">
        <w:rPr>
          <w:rFonts w:ascii="Verdana" w:hAnsi="Verdana"/>
          <w:b/>
          <w:bCs/>
          <w:color w:val="000000"/>
          <w:sz w:val="28"/>
          <w:szCs w:val="28"/>
        </w:rPr>
        <w:t xml:space="preserve">Essenciais sobre Gerenciamento de </w:t>
      </w:r>
    </w:p>
    <w:p w14:paraId="374713E2" w14:textId="77777777" w:rsidR="007017E1" w:rsidRPr="00A963E3" w:rsidRDefault="00A963E3" w:rsidP="00A963E3">
      <w:pPr>
        <w:pStyle w:val="Standard"/>
        <w:pBdr>
          <w:bottom w:val="single" w:sz="4" w:space="1" w:color="000000"/>
        </w:pBdr>
        <w:jc w:val="center"/>
      </w:pPr>
      <w:r>
        <w:rPr>
          <w:rFonts w:ascii="Verdana" w:hAnsi="Verdana"/>
          <w:b/>
          <w:bCs/>
          <w:color w:val="000000"/>
          <w:sz w:val="28"/>
          <w:szCs w:val="28"/>
        </w:rPr>
        <w:t>Variabilidade em</w:t>
      </w:r>
      <w:r w:rsidR="002E05FB">
        <w:rPr>
          <w:rFonts w:ascii="Verdana" w:hAnsi="Verdana"/>
          <w:b/>
          <w:bCs/>
          <w:color w:val="000000"/>
          <w:sz w:val="28"/>
          <w:szCs w:val="28"/>
        </w:rPr>
        <w:t xml:space="preserve"> Linha de Produto</w:t>
      </w:r>
      <w:r>
        <w:rPr>
          <w:rFonts w:ascii="Verdana" w:hAnsi="Verdana"/>
          <w:b/>
          <w:bCs/>
          <w:color w:val="000000"/>
          <w:sz w:val="28"/>
          <w:szCs w:val="28"/>
        </w:rPr>
        <w:t xml:space="preserve"> de Software</w:t>
      </w:r>
    </w:p>
    <w:p w14:paraId="3CD29400" w14:textId="77777777" w:rsidR="007017E1" w:rsidRDefault="007017E1">
      <w:pPr>
        <w:pStyle w:val="Standard"/>
        <w:rPr>
          <w:rFonts w:ascii="Verdana" w:hAnsi="Verdana"/>
          <w:b/>
          <w:bCs/>
          <w:color w:val="000000"/>
        </w:rPr>
      </w:pPr>
    </w:p>
    <w:p w14:paraId="7584A81A" w14:textId="77777777" w:rsidR="007017E1" w:rsidRDefault="002E05FB" w:rsidP="00976DFC">
      <w:pPr>
        <w:pStyle w:val="Standard"/>
        <w:spacing w:after="120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 xml:space="preserve">I. </w:t>
      </w:r>
      <w:r w:rsidR="00A963E3">
        <w:rPr>
          <w:rFonts w:ascii="Verdana" w:hAnsi="Verdana"/>
          <w:b/>
          <w:bCs/>
          <w:color w:val="000000"/>
        </w:rPr>
        <w:t>Linha de Produto de Software</w:t>
      </w:r>
    </w:p>
    <w:p w14:paraId="7D31E10E" w14:textId="623AC0B5" w:rsidR="00D41B69" w:rsidRDefault="00A963E3" w:rsidP="00976DFC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Uma</w:t>
      </w:r>
      <w:r w:rsidR="002E05FB">
        <w:rPr>
          <w:rFonts w:ascii="Verdana" w:hAnsi="Verdana"/>
          <w:color w:val="000000"/>
          <w:sz w:val="20"/>
          <w:szCs w:val="20"/>
        </w:rPr>
        <w:t xml:space="preserve"> linha de produto</w:t>
      </w:r>
      <w:r>
        <w:rPr>
          <w:rFonts w:ascii="Verdana" w:hAnsi="Verdana"/>
          <w:color w:val="000000"/>
          <w:sz w:val="20"/>
          <w:szCs w:val="20"/>
        </w:rPr>
        <w:t xml:space="preserve"> de software</w:t>
      </w:r>
      <w:r w:rsidR="002E05FB">
        <w:rPr>
          <w:rFonts w:ascii="Verdana" w:hAnsi="Verdana"/>
          <w:color w:val="000000"/>
          <w:sz w:val="20"/>
          <w:szCs w:val="20"/>
        </w:rPr>
        <w:t xml:space="preserve"> (LP</w:t>
      </w:r>
      <w:r w:rsidR="004439B8">
        <w:rPr>
          <w:rFonts w:ascii="Verdana" w:hAnsi="Verdana"/>
          <w:color w:val="000000"/>
          <w:sz w:val="20"/>
          <w:szCs w:val="20"/>
        </w:rPr>
        <w:t>S</w:t>
      </w:r>
      <w:r w:rsidR="002E05FB">
        <w:rPr>
          <w:rFonts w:ascii="Verdana" w:hAnsi="Verdana"/>
          <w:color w:val="000000"/>
          <w:sz w:val="20"/>
          <w:szCs w:val="20"/>
        </w:rPr>
        <w:t xml:space="preserve">) </w:t>
      </w:r>
      <w:r w:rsidR="00D41B69">
        <w:rPr>
          <w:rFonts w:ascii="Verdana" w:hAnsi="Verdana"/>
          <w:color w:val="000000"/>
          <w:sz w:val="20"/>
          <w:szCs w:val="20"/>
        </w:rPr>
        <w:t xml:space="preserve">corresponde a um conjunto de sistemas de </w:t>
      </w:r>
      <w:r w:rsidR="00D41B69" w:rsidRPr="00D41B69">
        <w:rPr>
          <w:rFonts w:ascii="Verdana" w:hAnsi="Verdana"/>
          <w:i/>
          <w:color w:val="000000"/>
          <w:sz w:val="20"/>
          <w:szCs w:val="20"/>
        </w:rPr>
        <w:t>software</w:t>
      </w:r>
      <w:r w:rsidR="00D41B69">
        <w:rPr>
          <w:rFonts w:ascii="Verdana" w:hAnsi="Verdana"/>
          <w:color w:val="000000"/>
          <w:sz w:val="20"/>
          <w:szCs w:val="20"/>
        </w:rPr>
        <w:t xml:space="preserve"> que compartilham características (</w:t>
      </w:r>
      <w:r w:rsidR="00D41B69">
        <w:rPr>
          <w:rFonts w:ascii="Verdana" w:hAnsi="Verdana"/>
          <w:i/>
          <w:color w:val="000000"/>
          <w:sz w:val="20"/>
          <w:szCs w:val="20"/>
        </w:rPr>
        <w:t>features</w:t>
      </w:r>
      <w:r w:rsidR="00D41B69">
        <w:rPr>
          <w:rFonts w:ascii="Verdana" w:hAnsi="Verdana"/>
          <w:color w:val="000000"/>
          <w:sz w:val="20"/>
          <w:szCs w:val="20"/>
        </w:rPr>
        <w:t xml:space="preserve">) comuns e gerenciáveis, que satisfazem a necessidade de um segmento particular ou de uma missão. Este conjunto </w:t>
      </w:r>
      <w:r w:rsidR="004439B8">
        <w:rPr>
          <w:rFonts w:ascii="Verdana" w:hAnsi="Verdana"/>
          <w:color w:val="000000"/>
          <w:sz w:val="20"/>
          <w:szCs w:val="20"/>
        </w:rPr>
        <w:t>de sistemas é denominado também</w:t>
      </w:r>
      <w:r w:rsidR="00D41B69">
        <w:rPr>
          <w:rFonts w:ascii="Verdana" w:hAnsi="Verdana"/>
          <w:color w:val="000000"/>
          <w:sz w:val="20"/>
          <w:szCs w:val="20"/>
        </w:rPr>
        <w:t xml:space="preserve"> família de produtos. Os membros da família são produtos específicos desenvolvidos de maneira sistemática a partir da instanciação de uma infraestrutura comum de uma LP</w:t>
      </w:r>
      <w:r w:rsidR="004439B8">
        <w:rPr>
          <w:rFonts w:ascii="Verdana" w:hAnsi="Verdana"/>
          <w:color w:val="000000"/>
          <w:sz w:val="20"/>
          <w:szCs w:val="20"/>
        </w:rPr>
        <w:t>S</w:t>
      </w:r>
      <w:r w:rsidR="00D41B69">
        <w:rPr>
          <w:rFonts w:ascii="Verdana" w:hAnsi="Verdana"/>
          <w:color w:val="000000"/>
          <w:sz w:val="20"/>
          <w:szCs w:val="20"/>
        </w:rPr>
        <w:t>, chamada núcleo de artefatos.</w:t>
      </w:r>
    </w:p>
    <w:p w14:paraId="7D93E0C6" w14:textId="77777777" w:rsidR="00D41B69" w:rsidRDefault="00D41B69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O núcleo de artefatos </w:t>
      </w:r>
      <w:r w:rsidR="00C0207B">
        <w:rPr>
          <w:rFonts w:ascii="Verdana" w:hAnsi="Verdana"/>
          <w:color w:val="000000"/>
          <w:sz w:val="20"/>
          <w:szCs w:val="20"/>
        </w:rPr>
        <w:t xml:space="preserve">é formando por um conjunto de características comuns (similaridades) e características variáveis (variabilidades). </w:t>
      </w:r>
      <w:r>
        <w:rPr>
          <w:rFonts w:ascii="Verdana" w:hAnsi="Verdana"/>
          <w:color w:val="000000"/>
          <w:sz w:val="20"/>
          <w:szCs w:val="20"/>
        </w:rPr>
        <w:t>As variabilidades podem estar associadas a diferentes níveis de abstração, como a descrição da ar</w:t>
      </w:r>
      <w:r w:rsidR="00C0207B">
        <w:rPr>
          <w:rFonts w:ascii="Verdana" w:hAnsi="Verdana"/>
          <w:color w:val="000000"/>
          <w:sz w:val="20"/>
          <w:szCs w:val="20"/>
        </w:rPr>
        <w:t xml:space="preserve">quitetura, o código fonte, etc., e auxiliam na geração de produtos específicos distintos em um mesmo domínio e, dessa forma, diminuem o custo e o tempo de desenvolvimento, reduzem riscos e perdas, além de reduzirem o </w:t>
      </w:r>
      <w:r w:rsidR="00C0207B">
        <w:rPr>
          <w:rFonts w:ascii="Verdana" w:hAnsi="Verdana"/>
          <w:i/>
          <w:color w:val="000000"/>
          <w:sz w:val="20"/>
          <w:szCs w:val="20"/>
        </w:rPr>
        <w:t>time to market</w:t>
      </w:r>
      <w:r w:rsidR="00C0207B">
        <w:rPr>
          <w:rFonts w:ascii="Verdana" w:hAnsi="Verdana"/>
          <w:color w:val="000000"/>
          <w:sz w:val="20"/>
          <w:szCs w:val="20"/>
        </w:rPr>
        <w:t xml:space="preserve"> e justificarem o retorno de investimento (ROI).</w:t>
      </w:r>
    </w:p>
    <w:p w14:paraId="2D231487" w14:textId="02FFBB3F" w:rsidR="00C0207B" w:rsidRDefault="00C0207B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O gerenciamento de variabilidades é uma das atividades mais importantes no gerenciamento de uma LP</w:t>
      </w:r>
      <w:r w:rsidR="004439B8">
        <w:rPr>
          <w:rFonts w:ascii="Verdana" w:hAnsi="Verdana"/>
          <w:color w:val="000000"/>
          <w:sz w:val="20"/>
          <w:szCs w:val="20"/>
        </w:rPr>
        <w:t>S</w:t>
      </w:r>
      <w:r>
        <w:rPr>
          <w:rFonts w:ascii="Verdana" w:hAnsi="Verdana"/>
          <w:color w:val="000000"/>
          <w:sz w:val="20"/>
          <w:szCs w:val="20"/>
        </w:rPr>
        <w:t>, tendo sido foco de atenção por diversos pesquisadores, com pode ser percebido pelas diversas abordagens presentes na literatura.</w:t>
      </w:r>
    </w:p>
    <w:p w14:paraId="35D7379D" w14:textId="3912B279" w:rsidR="00C0207B" w:rsidRPr="00C0207B" w:rsidRDefault="00C0207B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</w:t>
      </w:r>
      <w:r w:rsidRPr="00C0207B">
        <w:rPr>
          <w:rFonts w:ascii="Verdana" w:hAnsi="Verdana"/>
          <w:color w:val="000000"/>
          <w:sz w:val="20"/>
          <w:szCs w:val="20"/>
        </w:rPr>
        <w:t>s variabilidades podem estar associadas a diferentes níveis de abstração, dentre eles, a descrição da arquitetura, a documentação de projeto, o código fonte, o código compilado, o código ligado e o código executável.</w:t>
      </w:r>
    </w:p>
    <w:p w14:paraId="1C7D6132" w14:textId="77777777" w:rsidR="00517306" w:rsidRDefault="00C0207B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Em síntese v</w:t>
      </w:r>
      <w:r w:rsidR="00D41B69" w:rsidRPr="002B2A37">
        <w:rPr>
          <w:rFonts w:ascii="Verdana" w:hAnsi="Verdana"/>
          <w:b/>
          <w:color w:val="000000"/>
          <w:sz w:val="20"/>
          <w:szCs w:val="20"/>
        </w:rPr>
        <w:t>ariabilidade é a forma como os membros de uma família de produtos podem se diferenciar entre si</w:t>
      </w:r>
      <w:r w:rsidR="001075CC" w:rsidRPr="002B2A37">
        <w:rPr>
          <w:rFonts w:ascii="Verdana" w:hAnsi="Verdana"/>
          <w:b/>
          <w:color w:val="000000"/>
          <w:sz w:val="20"/>
          <w:szCs w:val="20"/>
        </w:rPr>
        <w:t>, ou seja, é o que permite distinguir os diverso</w:t>
      </w:r>
      <w:r w:rsidR="00852A31" w:rsidRPr="002B2A37">
        <w:rPr>
          <w:rFonts w:ascii="Verdana" w:hAnsi="Verdana"/>
          <w:b/>
          <w:color w:val="000000"/>
          <w:sz w:val="20"/>
          <w:szCs w:val="20"/>
        </w:rPr>
        <w:t>s</w:t>
      </w:r>
      <w:r w:rsidR="001075CC" w:rsidRPr="002B2A37">
        <w:rPr>
          <w:rFonts w:ascii="Verdana" w:hAnsi="Verdana"/>
          <w:b/>
          <w:color w:val="000000"/>
          <w:sz w:val="20"/>
          <w:szCs w:val="20"/>
        </w:rPr>
        <w:t xml:space="preserve"> produtos de uma LP</w:t>
      </w:r>
      <w:r w:rsidR="00D41B69" w:rsidRPr="002B2A37">
        <w:rPr>
          <w:rFonts w:ascii="Verdana" w:hAnsi="Verdana"/>
          <w:b/>
          <w:color w:val="000000"/>
          <w:sz w:val="20"/>
          <w:szCs w:val="20"/>
        </w:rPr>
        <w:t>.</w:t>
      </w:r>
      <w:r w:rsidR="00D41B69">
        <w:rPr>
          <w:rFonts w:ascii="Verdana" w:hAnsi="Verdana"/>
          <w:color w:val="000000"/>
          <w:sz w:val="20"/>
          <w:szCs w:val="20"/>
        </w:rPr>
        <w:t xml:space="preserve"> </w:t>
      </w:r>
    </w:p>
    <w:p w14:paraId="110688DE" w14:textId="77777777" w:rsidR="00D41B69" w:rsidRDefault="00D41B69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 w:rsidRPr="00517306">
        <w:rPr>
          <w:rFonts w:ascii="Verdana" w:hAnsi="Verdana"/>
          <w:b/>
          <w:color w:val="000000"/>
          <w:sz w:val="20"/>
          <w:szCs w:val="20"/>
        </w:rPr>
        <w:t>A variabilidade é descrita por pontos de variação e variantes</w:t>
      </w:r>
      <w:r>
        <w:rPr>
          <w:rFonts w:ascii="Verdana" w:hAnsi="Verdana"/>
          <w:color w:val="000000"/>
          <w:sz w:val="20"/>
          <w:szCs w:val="20"/>
        </w:rPr>
        <w:t>:</w:t>
      </w:r>
    </w:p>
    <w:p w14:paraId="42BD6DFC" w14:textId="77777777" w:rsidR="00D41B69" w:rsidRDefault="001075CC" w:rsidP="00CA02D7">
      <w:pPr>
        <w:pStyle w:val="Standard"/>
        <w:numPr>
          <w:ilvl w:val="0"/>
          <w:numId w:val="15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Ponto de variação: </w:t>
      </w:r>
      <w:r>
        <w:rPr>
          <w:rFonts w:ascii="Verdana" w:hAnsi="Verdana"/>
          <w:color w:val="000000"/>
          <w:sz w:val="20"/>
          <w:szCs w:val="20"/>
        </w:rPr>
        <w:t xml:space="preserve">Um </w:t>
      </w:r>
      <w:r w:rsidRPr="00C0207B">
        <w:rPr>
          <w:rFonts w:ascii="Verdana" w:hAnsi="Verdana"/>
          <w:b/>
          <w:color w:val="000000"/>
          <w:sz w:val="20"/>
          <w:szCs w:val="20"/>
        </w:rPr>
        <w:t>local específico</w:t>
      </w:r>
      <w:r>
        <w:rPr>
          <w:rFonts w:ascii="Verdana" w:hAnsi="Verdana"/>
          <w:color w:val="000000"/>
          <w:sz w:val="20"/>
          <w:szCs w:val="20"/>
        </w:rPr>
        <w:t xml:space="preserve"> de um artefato em que uma decisão de projeto ainda não foi </w:t>
      </w:r>
      <w:r w:rsidR="00D210A3">
        <w:rPr>
          <w:rFonts w:ascii="Verdana" w:hAnsi="Verdana"/>
          <w:color w:val="000000"/>
          <w:sz w:val="20"/>
          <w:szCs w:val="20"/>
        </w:rPr>
        <w:t>tomada</w:t>
      </w:r>
      <w:r>
        <w:rPr>
          <w:rFonts w:ascii="Verdana" w:hAnsi="Verdana"/>
          <w:color w:val="000000"/>
          <w:sz w:val="20"/>
          <w:szCs w:val="20"/>
        </w:rPr>
        <w:t>, ou seja, foi adiada;</w:t>
      </w:r>
    </w:p>
    <w:p w14:paraId="7831455E" w14:textId="77777777" w:rsidR="001075CC" w:rsidRDefault="001075CC" w:rsidP="00CA02D7">
      <w:pPr>
        <w:pStyle w:val="Standard"/>
        <w:numPr>
          <w:ilvl w:val="0"/>
          <w:numId w:val="15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Variante:</w:t>
      </w:r>
      <w:r>
        <w:rPr>
          <w:rFonts w:ascii="Verdana" w:hAnsi="Verdana"/>
          <w:color w:val="000000"/>
          <w:sz w:val="20"/>
          <w:szCs w:val="20"/>
        </w:rPr>
        <w:t xml:space="preserve"> Corresponde a </w:t>
      </w:r>
      <w:r w:rsidRPr="00C0207B">
        <w:rPr>
          <w:rFonts w:ascii="Verdana" w:hAnsi="Verdana"/>
          <w:b/>
          <w:color w:val="000000"/>
          <w:sz w:val="20"/>
          <w:szCs w:val="20"/>
        </w:rPr>
        <w:t>uma alternativa</w:t>
      </w:r>
      <w:r>
        <w:rPr>
          <w:rFonts w:ascii="Verdana" w:hAnsi="Verdana"/>
          <w:color w:val="000000"/>
          <w:sz w:val="20"/>
          <w:szCs w:val="20"/>
        </w:rPr>
        <w:t xml:space="preserve"> de projeto para </w:t>
      </w:r>
      <w:r w:rsidR="00D210A3">
        <w:rPr>
          <w:rFonts w:ascii="Verdana" w:hAnsi="Verdana"/>
          <w:color w:val="000000"/>
          <w:sz w:val="20"/>
          <w:szCs w:val="20"/>
        </w:rPr>
        <w:t>resolver</w:t>
      </w:r>
      <w:r>
        <w:rPr>
          <w:rFonts w:ascii="Verdana" w:hAnsi="Verdana"/>
          <w:color w:val="000000"/>
          <w:sz w:val="20"/>
          <w:szCs w:val="20"/>
        </w:rPr>
        <w:t xml:space="preserve"> uma determinada variabilidade. </w:t>
      </w:r>
    </w:p>
    <w:p w14:paraId="153F2BC6" w14:textId="77777777" w:rsidR="001075CC" w:rsidRPr="00D41B69" w:rsidRDefault="001075CC" w:rsidP="00CA02D7">
      <w:pPr>
        <w:pStyle w:val="Standard"/>
        <w:numPr>
          <w:ilvl w:val="0"/>
          <w:numId w:val="15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Restrições entre variantes: </w:t>
      </w:r>
      <w:r>
        <w:rPr>
          <w:rFonts w:ascii="Verdana" w:hAnsi="Verdana"/>
          <w:color w:val="000000"/>
          <w:sz w:val="20"/>
          <w:szCs w:val="20"/>
        </w:rPr>
        <w:t>define os relacionamentos entre duas ou mais variantes para que seja possível resolver um ponto de variação ou uma variabilidade.</w:t>
      </w:r>
    </w:p>
    <w:p w14:paraId="337F11E3" w14:textId="77777777" w:rsidR="00D41B69" w:rsidRDefault="00FB3F3F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A aplicação destes conceitos </w:t>
      </w:r>
      <w:r w:rsidR="00D210A3">
        <w:rPr>
          <w:rFonts w:ascii="Verdana" w:hAnsi="Verdana"/>
          <w:color w:val="000000"/>
          <w:sz w:val="20"/>
          <w:szCs w:val="20"/>
        </w:rPr>
        <w:t>é apresentada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D210A3">
        <w:rPr>
          <w:rFonts w:ascii="Verdana" w:hAnsi="Verdana"/>
          <w:color w:val="000000"/>
          <w:sz w:val="20"/>
          <w:szCs w:val="20"/>
        </w:rPr>
        <w:t>n</w:t>
      </w:r>
      <w:r>
        <w:rPr>
          <w:rFonts w:ascii="Verdana" w:hAnsi="Verdana"/>
          <w:color w:val="000000"/>
          <w:sz w:val="20"/>
          <w:szCs w:val="20"/>
        </w:rPr>
        <w:t>a Figura 1.</w:t>
      </w:r>
    </w:p>
    <w:p w14:paraId="2CDE0BD4" w14:textId="77777777" w:rsidR="001075CC" w:rsidRDefault="009D2726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A </w:t>
      </w:r>
      <w:r w:rsidR="00D210A3">
        <w:rPr>
          <w:rFonts w:ascii="Verdana" w:hAnsi="Verdana"/>
          <w:color w:val="000000"/>
          <w:sz w:val="20"/>
          <w:szCs w:val="20"/>
        </w:rPr>
        <w:t xml:space="preserve">maioria das </w:t>
      </w:r>
      <w:r>
        <w:rPr>
          <w:rFonts w:ascii="Verdana" w:hAnsi="Verdana"/>
          <w:color w:val="000000"/>
          <w:sz w:val="20"/>
          <w:szCs w:val="20"/>
        </w:rPr>
        <w:t>abordagens desenvolvidas para auxiliar no gerenciamento de variabilidades envolvem diversos conce</w:t>
      </w:r>
      <w:r w:rsidR="00D210A3">
        <w:rPr>
          <w:rFonts w:ascii="Verdana" w:hAnsi="Verdana"/>
          <w:color w:val="000000"/>
          <w:sz w:val="20"/>
          <w:szCs w:val="20"/>
        </w:rPr>
        <w:t>itos e modelos de representação.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D210A3">
        <w:rPr>
          <w:rFonts w:ascii="Verdana" w:hAnsi="Verdana"/>
          <w:color w:val="000000"/>
          <w:sz w:val="20"/>
          <w:szCs w:val="20"/>
        </w:rPr>
        <w:t>A</w:t>
      </w:r>
      <w:r>
        <w:rPr>
          <w:rFonts w:ascii="Verdana" w:hAnsi="Verdana"/>
          <w:color w:val="000000"/>
          <w:sz w:val="20"/>
          <w:szCs w:val="20"/>
        </w:rPr>
        <w:t xml:space="preserve">s abordagens “X” e “Y” </w:t>
      </w:r>
      <w:r w:rsidR="00D210A3">
        <w:rPr>
          <w:rFonts w:ascii="Verdana" w:hAnsi="Verdana"/>
          <w:color w:val="000000"/>
          <w:sz w:val="20"/>
          <w:szCs w:val="20"/>
        </w:rPr>
        <w:t>apresentadas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A80EDD">
        <w:rPr>
          <w:rFonts w:ascii="Verdana" w:hAnsi="Verdana"/>
          <w:color w:val="000000"/>
          <w:sz w:val="20"/>
          <w:szCs w:val="20"/>
        </w:rPr>
        <w:t>nos documentos 3.2 e 3.3, respectivamente,</w:t>
      </w:r>
      <w:r>
        <w:rPr>
          <w:rFonts w:ascii="Verdana" w:hAnsi="Verdana"/>
          <w:color w:val="000000"/>
          <w:sz w:val="20"/>
          <w:szCs w:val="20"/>
        </w:rPr>
        <w:t xml:space="preserve"> possuem como base a UML – </w:t>
      </w:r>
      <w:r>
        <w:rPr>
          <w:rFonts w:ascii="Verdana" w:hAnsi="Verdana"/>
          <w:i/>
          <w:color w:val="000000"/>
          <w:sz w:val="20"/>
          <w:szCs w:val="20"/>
        </w:rPr>
        <w:t>Unified Modeling Language</w:t>
      </w:r>
      <w:r>
        <w:rPr>
          <w:rFonts w:ascii="Verdana" w:hAnsi="Verdana"/>
          <w:color w:val="000000"/>
          <w:sz w:val="20"/>
          <w:szCs w:val="20"/>
        </w:rPr>
        <w:t>. Tais abordagens utilizam diversos conceit</w:t>
      </w:r>
      <w:bookmarkStart w:id="0" w:name="_GoBack"/>
      <w:bookmarkEnd w:id="0"/>
      <w:r>
        <w:rPr>
          <w:rFonts w:ascii="Verdana" w:hAnsi="Verdana"/>
          <w:color w:val="000000"/>
          <w:sz w:val="20"/>
          <w:szCs w:val="20"/>
        </w:rPr>
        <w:t xml:space="preserve">os </w:t>
      </w:r>
      <w:r w:rsidR="00D210A3">
        <w:rPr>
          <w:rFonts w:ascii="Verdana" w:hAnsi="Verdana"/>
          <w:color w:val="000000"/>
          <w:sz w:val="20"/>
          <w:szCs w:val="20"/>
        </w:rPr>
        <w:t>da UML</w:t>
      </w:r>
      <w:r>
        <w:rPr>
          <w:rFonts w:ascii="Verdana" w:hAnsi="Verdana"/>
          <w:color w:val="000000"/>
          <w:sz w:val="20"/>
          <w:szCs w:val="20"/>
        </w:rPr>
        <w:t xml:space="preserve"> como o uso de estereótipos e diversos diagramas.</w:t>
      </w:r>
    </w:p>
    <w:p w14:paraId="6F0C686E" w14:textId="77777777" w:rsidR="005A50A5" w:rsidRDefault="00517306" w:rsidP="005A50A5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noProof/>
          <w:color w:val="000000"/>
          <w:sz w:val="20"/>
          <w:szCs w:val="20"/>
        </w:rPr>
        <w:lastRenderedPageBreak/>
        <w:drawing>
          <wp:inline distT="0" distB="0" distL="0" distR="0" wp14:anchorId="1D90357F" wp14:editId="40610634">
            <wp:extent cx="6687185" cy="4608830"/>
            <wp:effectExtent l="0" t="0" r="0" b="12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185" cy="460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F2DD6" w14:textId="77777777" w:rsidR="005A50A5" w:rsidRDefault="005A50A5" w:rsidP="005A50A5">
      <w:pPr>
        <w:spacing w:after="120"/>
        <w:jc w:val="center"/>
        <w:rPr>
          <w:rFonts w:ascii="Verdana" w:hAnsi="Verdana"/>
          <w:color w:val="000000" w:themeColor="text1"/>
          <w:sz w:val="18"/>
          <w:szCs w:val="18"/>
          <w:lang w:val="pt-BR"/>
        </w:rPr>
      </w:pP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1 –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Exemplo dos Conceitos de Variabilidade, Pontos de Variação, Variantes e Restrições</w:t>
      </w:r>
      <w:r w:rsidR="00D210A3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entre Variantes.</w:t>
      </w:r>
    </w:p>
    <w:p w14:paraId="61AFDD49" w14:textId="77777777" w:rsidR="00976DFC" w:rsidRDefault="00976DFC" w:rsidP="00976DFC">
      <w:pPr>
        <w:spacing w:after="120"/>
        <w:jc w:val="both"/>
        <w:rPr>
          <w:rFonts w:ascii="Verdana" w:hAnsi="Verdana"/>
          <w:color w:val="000000" w:themeColor="text1"/>
          <w:sz w:val="18"/>
          <w:szCs w:val="18"/>
          <w:lang w:val="pt-BR"/>
        </w:rPr>
      </w:pPr>
    </w:p>
    <w:p w14:paraId="32C924F8" w14:textId="77777777" w:rsidR="00976DFC" w:rsidRDefault="00976DFC" w:rsidP="00976DFC">
      <w:pPr>
        <w:pStyle w:val="Standard"/>
        <w:spacing w:after="120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II. Abordagens para Linha de Produto de Software</w:t>
      </w:r>
    </w:p>
    <w:p w14:paraId="699C03B3" w14:textId="77777777" w:rsidR="00580D56" w:rsidRDefault="00976DFC" w:rsidP="00580D56">
      <w:pPr>
        <w:pStyle w:val="Standard"/>
        <w:spacing w:after="240"/>
        <w:ind w:firstLine="567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Para a representação de linhas de produto de software e o gerenciamento de suas variabilidades, como mencionado anteriormente, existem diversas abordagens presentes na literatura. Entre os itens que estas abordagens contemplam, temos os que seguem na Tabela I, </w:t>
      </w:r>
      <w:r w:rsidR="00580D56">
        <w:rPr>
          <w:rFonts w:ascii="Verdana" w:hAnsi="Verdana"/>
          <w:color w:val="000000"/>
          <w:sz w:val="20"/>
          <w:szCs w:val="20"/>
        </w:rPr>
        <w:t>que serão posteriormente apresentados para cada abordagem.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087"/>
        <w:gridCol w:w="8080"/>
      </w:tblGrid>
      <w:tr w:rsidR="00976DFC" w:rsidRPr="00976DFC" w14:paraId="4C6CD485" w14:textId="77777777" w:rsidTr="00CF1403">
        <w:trPr>
          <w:jc w:val="center"/>
        </w:trPr>
        <w:tc>
          <w:tcPr>
            <w:tcW w:w="2087" w:type="dxa"/>
            <w:shd w:val="clear" w:color="auto" w:fill="000000" w:themeFill="text1"/>
          </w:tcPr>
          <w:p w14:paraId="2146E06B" w14:textId="77777777" w:rsidR="00976DFC" w:rsidRPr="00976DFC" w:rsidRDefault="00976DFC" w:rsidP="00976DF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76DFC">
              <w:rPr>
                <w:rFonts w:ascii="Verdana" w:hAnsi="Verdana"/>
                <w:b/>
                <w:sz w:val="20"/>
                <w:szCs w:val="20"/>
              </w:rPr>
              <w:t>Item</w:t>
            </w:r>
          </w:p>
        </w:tc>
        <w:tc>
          <w:tcPr>
            <w:tcW w:w="8080" w:type="dxa"/>
            <w:shd w:val="clear" w:color="auto" w:fill="000000" w:themeFill="text1"/>
          </w:tcPr>
          <w:p w14:paraId="371C1C0C" w14:textId="77777777" w:rsidR="00976DFC" w:rsidRPr="00976DFC" w:rsidRDefault="00976DFC" w:rsidP="00976DF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Identificação</w:t>
            </w:r>
          </w:p>
        </w:tc>
      </w:tr>
      <w:tr w:rsidR="00976DFC" w:rsidRPr="000771CF" w14:paraId="62CBE4E1" w14:textId="77777777" w:rsidTr="00CF1403">
        <w:trPr>
          <w:jc w:val="center"/>
        </w:trPr>
        <w:tc>
          <w:tcPr>
            <w:tcW w:w="2087" w:type="dxa"/>
            <w:vAlign w:val="center"/>
          </w:tcPr>
          <w:p w14:paraId="0621DC32" w14:textId="77777777" w:rsidR="00976DFC" w:rsidRPr="00976DFC" w:rsidRDefault="00976DFC" w:rsidP="00976DF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Baseada em UML</w:t>
            </w:r>
          </w:p>
        </w:tc>
        <w:tc>
          <w:tcPr>
            <w:tcW w:w="8080" w:type="dxa"/>
            <w:vAlign w:val="center"/>
          </w:tcPr>
          <w:p w14:paraId="5C091087" w14:textId="27BF0B0C" w:rsidR="00976DFC" w:rsidRPr="00976DFC" w:rsidRDefault="00976DFC" w:rsidP="00976DF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Indica que a abordagem utiliza os modelos UML, meta-atributos, etc., como forma de representação da LP</w:t>
            </w:r>
            <w:r w:rsidR="004439B8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e de suas variabilidades.</w:t>
            </w:r>
          </w:p>
        </w:tc>
      </w:tr>
      <w:tr w:rsidR="00976DFC" w:rsidRPr="000771CF" w14:paraId="4D3F4404" w14:textId="77777777" w:rsidTr="00CF1403">
        <w:trPr>
          <w:jc w:val="center"/>
        </w:trPr>
        <w:tc>
          <w:tcPr>
            <w:tcW w:w="2087" w:type="dxa"/>
            <w:vAlign w:val="center"/>
          </w:tcPr>
          <w:p w14:paraId="431883C6" w14:textId="77777777" w:rsidR="00976DFC" w:rsidRPr="00976DFC" w:rsidRDefault="00976DFC" w:rsidP="00976DF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Perfil</w:t>
            </w:r>
          </w:p>
        </w:tc>
        <w:tc>
          <w:tcPr>
            <w:tcW w:w="8080" w:type="dxa"/>
            <w:vAlign w:val="center"/>
          </w:tcPr>
          <w:p w14:paraId="1E841C52" w14:textId="77777777" w:rsidR="00976DFC" w:rsidRPr="00976DFC" w:rsidRDefault="00976DFC" w:rsidP="00976DF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Diversas abordagens apresentam um perfil especifico que é formado por estereótipos e meta-atributos, geralmente derivados de uma linguagem de modelagem, como a UML.</w:t>
            </w:r>
          </w:p>
        </w:tc>
      </w:tr>
      <w:tr w:rsidR="00976DFC" w:rsidRPr="000771CF" w14:paraId="7D1E0250" w14:textId="77777777" w:rsidTr="00CF1403">
        <w:trPr>
          <w:jc w:val="center"/>
        </w:trPr>
        <w:tc>
          <w:tcPr>
            <w:tcW w:w="2087" w:type="dxa"/>
            <w:vAlign w:val="center"/>
          </w:tcPr>
          <w:p w14:paraId="0F211935" w14:textId="77777777" w:rsidR="00976DFC" w:rsidRPr="00976DFC" w:rsidRDefault="00976DFC" w:rsidP="00976DF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Processo</w:t>
            </w:r>
          </w:p>
        </w:tc>
        <w:tc>
          <w:tcPr>
            <w:tcW w:w="8080" w:type="dxa"/>
            <w:vAlign w:val="center"/>
          </w:tcPr>
          <w:p w14:paraId="03D0D23C" w14:textId="77777777" w:rsidR="00976DFC" w:rsidRPr="00976DFC" w:rsidRDefault="00976DFC" w:rsidP="00976DF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 processo contempla a sistematização da utilização de um perfil para o gerenciamento de variabilidades, guiando o usuário no uso das definições do perfil utilizado.</w:t>
            </w:r>
          </w:p>
        </w:tc>
      </w:tr>
      <w:tr w:rsidR="00976DFC" w:rsidRPr="000771CF" w14:paraId="4CC94707" w14:textId="77777777" w:rsidTr="00CF1403">
        <w:trPr>
          <w:jc w:val="center"/>
        </w:trPr>
        <w:tc>
          <w:tcPr>
            <w:tcW w:w="2087" w:type="dxa"/>
            <w:vAlign w:val="center"/>
          </w:tcPr>
          <w:p w14:paraId="034BB1F3" w14:textId="77777777" w:rsidR="00976DFC" w:rsidRPr="00976DFC" w:rsidRDefault="00976DFC" w:rsidP="00976DF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Estereótipos</w:t>
            </w:r>
          </w:p>
        </w:tc>
        <w:tc>
          <w:tcPr>
            <w:tcW w:w="8080" w:type="dxa"/>
            <w:vAlign w:val="center"/>
          </w:tcPr>
          <w:p w14:paraId="09F66690" w14:textId="671796D0" w:rsidR="00976DFC" w:rsidRPr="00976DFC" w:rsidRDefault="00580D56" w:rsidP="00976DFC">
            <w:pPr>
              <w:rPr>
                <w:rFonts w:ascii="Verdana" w:hAnsi="Verdana"/>
                <w:sz w:val="20"/>
                <w:szCs w:val="20"/>
              </w:rPr>
            </w:pPr>
            <w:r w:rsidRPr="006A7DD2">
              <w:rPr>
                <w:rFonts w:ascii="Verdana" w:hAnsi="Verdana"/>
                <w:sz w:val="20"/>
                <w:szCs w:val="20"/>
              </w:rPr>
              <w:t>Estereótipos</w:t>
            </w:r>
            <w:r>
              <w:rPr>
                <w:rFonts w:ascii="Verdana" w:hAnsi="Verdana"/>
                <w:sz w:val="20"/>
                <w:szCs w:val="20"/>
              </w:rPr>
              <w:t>, como os da</w:t>
            </w:r>
            <w:r w:rsidRPr="006A7DD2">
              <w:rPr>
                <w:rFonts w:ascii="Verdana" w:hAnsi="Verdana"/>
                <w:sz w:val="20"/>
                <w:szCs w:val="20"/>
              </w:rPr>
              <w:t xml:space="preserve"> UML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6A7DD2">
              <w:rPr>
                <w:rFonts w:ascii="Verdana" w:hAnsi="Verdana"/>
                <w:sz w:val="20"/>
                <w:szCs w:val="20"/>
              </w:rPr>
              <w:t xml:space="preserve"> são um padrão de mecanismo de extensão e </w:t>
            </w:r>
            <w:r>
              <w:rPr>
                <w:rFonts w:ascii="Verdana" w:hAnsi="Verdana"/>
                <w:sz w:val="20"/>
                <w:szCs w:val="20"/>
              </w:rPr>
              <w:t xml:space="preserve">são </w:t>
            </w:r>
            <w:r w:rsidRPr="006A7DD2">
              <w:rPr>
                <w:rFonts w:ascii="Verdana" w:hAnsi="Verdana"/>
                <w:sz w:val="20"/>
                <w:szCs w:val="20"/>
              </w:rPr>
              <w:t>usados para distinguir diferentes tipos de elementos modelados.</w:t>
            </w:r>
            <w:r>
              <w:rPr>
                <w:rFonts w:ascii="Verdana" w:hAnsi="Verdana"/>
                <w:sz w:val="20"/>
                <w:szCs w:val="20"/>
              </w:rPr>
              <w:t xml:space="preserve"> Em LP</w:t>
            </w:r>
            <w:r w:rsidR="004439B8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são ferramentas úteis para identificar variabilidade, seus pontos de variação, variantes e outros itens necessários ao seu gerenciamento.</w:t>
            </w:r>
          </w:p>
        </w:tc>
      </w:tr>
      <w:tr w:rsidR="00976DFC" w:rsidRPr="000771CF" w14:paraId="758D1BD8" w14:textId="77777777" w:rsidTr="00CF1403">
        <w:trPr>
          <w:jc w:val="center"/>
        </w:trPr>
        <w:tc>
          <w:tcPr>
            <w:tcW w:w="2087" w:type="dxa"/>
            <w:vAlign w:val="center"/>
          </w:tcPr>
          <w:p w14:paraId="60B6C886" w14:textId="77777777" w:rsidR="00976DFC" w:rsidRPr="00976DFC" w:rsidRDefault="00976DFC" w:rsidP="00976DF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Diretrizes</w:t>
            </w:r>
          </w:p>
        </w:tc>
        <w:tc>
          <w:tcPr>
            <w:tcW w:w="8080" w:type="dxa"/>
            <w:vAlign w:val="center"/>
          </w:tcPr>
          <w:p w14:paraId="5F37AA4C" w14:textId="77777777" w:rsidR="00976DFC" w:rsidRPr="00976DFC" w:rsidRDefault="00580D56" w:rsidP="00976DF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São os passos sistematizados definidos no processo, que permitem a aplicação facilitada do perfil da abordagem a que corresponde.</w:t>
            </w:r>
          </w:p>
        </w:tc>
      </w:tr>
    </w:tbl>
    <w:p w14:paraId="42584437" w14:textId="77777777" w:rsidR="00976DFC" w:rsidRPr="00517306" w:rsidRDefault="00976DFC" w:rsidP="00976DFC">
      <w:pPr>
        <w:spacing w:after="120"/>
        <w:jc w:val="both"/>
        <w:rPr>
          <w:rFonts w:ascii="Verdana" w:hAnsi="Verdana"/>
          <w:color w:val="000000" w:themeColor="text1"/>
          <w:sz w:val="18"/>
          <w:szCs w:val="18"/>
          <w:lang w:val="pt-BR"/>
        </w:rPr>
      </w:pPr>
    </w:p>
    <w:sectPr w:rsidR="00976DFC" w:rsidRPr="00517306" w:rsidSect="00CF1403">
      <w:footerReference w:type="default" r:id="rId8"/>
      <w:pgSz w:w="12240" w:h="15840"/>
      <w:pgMar w:top="851" w:right="851" w:bottom="1276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DAAA1" w14:textId="77777777" w:rsidR="008B6DA4" w:rsidRDefault="008B6DA4">
      <w:r>
        <w:separator/>
      </w:r>
    </w:p>
  </w:endnote>
  <w:endnote w:type="continuationSeparator" w:id="0">
    <w:p w14:paraId="62280405" w14:textId="77777777" w:rsidR="008B6DA4" w:rsidRDefault="008B6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302354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1908AD06" w14:textId="5D0A0270" w:rsidR="005F15C9" w:rsidRPr="005F15C9" w:rsidRDefault="000771CF">
        <w:pPr>
          <w:pStyle w:val="Rodap"/>
          <w:jc w:val="right"/>
          <w:rPr>
            <w:rFonts w:ascii="Verdana" w:hAnsi="Verdana"/>
            <w:lang w:val="pt-BR"/>
          </w:rPr>
        </w:pPr>
        <w:r>
          <w:rPr>
            <w:rFonts w:ascii="Verdana" w:hAnsi="Verdana"/>
            <w:i/>
            <w:sz w:val="14"/>
            <w:szCs w:val="14"/>
            <w:lang w:val="pt-BR"/>
          </w:rPr>
          <w:t>Conceitos Essenciais sobre Gerenciamento de Variabilidade em Linha de Produto de Software</w:t>
        </w:r>
        <w:r w:rsidR="005F15C9">
          <w:rPr>
            <w:rFonts w:ascii="Verdana" w:hAnsi="Verdana"/>
            <w:sz w:val="14"/>
            <w:szCs w:val="14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  <w:t xml:space="preserve">    </w:t>
        </w:r>
        <w:r w:rsidR="005F15C9" w:rsidRPr="005F15C9">
          <w:rPr>
            <w:rFonts w:ascii="Verdana" w:hAnsi="Verdana"/>
          </w:rPr>
          <w:fldChar w:fldCharType="begin"/>
        </w:r>
        <w:r w:rsidR="005F15C9" w:rsidRPr="005F15C9">
          <w:rPr>
            <w:rFonts w:ascii="Verdana" w:hAnsi="Verdana"/>
            <w:lang w:val="pt-BR"/>
          </w:rPr>
          <w:instrText>PAGE   \* MERGEFORMAT</w:instrText>
        </w:r>
        <w:r w:rsidR="005F15C9" w:rsidRPr="005F15C9">
          <w:rPr>
            <w:rFonts w:ascii="Verdana" w:hAnsi="Verdana"/>
          </w:rPr>
          <w:fldChar w:fldCharType="separate"/>
        </w:r>
        <w:r>
          <w:rPr>
            <w:rFonts w:ascii="Verdana" w:hAnsi="Verdana"/>
            <w:noProof/>
            <w:lang w:val="pt-BR"/>
          </w:rPr>
          <w:t>2</w:t>
        </w:r>
        <w:r w:rsidR="005F15C9" w:rsidRPr="005F15C9">
          <w:rPr>
            <w:rFonts w:ascii="Verdana" w:hAnsi="Verdana"/>
          </w:rPr>
          <w:fldChar w:fldCharType="end"/>
        </w:r>
      </w:p>
    </w:sdtContent>
  </w:sdt>
  <w:p w14:paraId="7CE2854F" w14:textId="77777777" w:rsidR="005F15C9" w:rsidRPr="005F15C9" w:rsidRDefault="005F15C9">
    <w:pPr>
      <w:pStyle w:val="Rodap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DF7C7" w14:textId="77777777" w:rsidR="008B6DA4" w:rsidRDefault="008B6DA4">
      <w:r>
        <w:rPr>
          <w:color w:val="000000"/>
        </w:rPr>
        <w:separator/>
      </w:r>
    </w:p>
  </w:footnote>
  <w:footnote w:type="continuationSeparator" w:id="0">
    <w:p w14:paraId="14C9B58C" w14:textId="77777777" w:rsidR="008B6DA4" w:rsidRDefault="008B6D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86AD7"/>
    <w:multiLevelType w:val="multilevel"/>
    <w:tmpl w:val="F34C4E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92DB1"/>
    <w:multiLevelType w:val="multilevel"/>
    <w:tmpl w:val="4E4649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77DDD"/>
    <w:multiLevelType w:val="multilevel"/>
    <w:tmpl w:val="D7C648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2723B"/>
    <w:multiLevelType w:val="hybridMultilevel"/>
    <w:tmpl w:val="162E49D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312A0B"/>
    <w:multiLevelType w:val="hybridMultilevel"/>
    <w:tmpl w:val="3A483D2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56275FA"/>
    <w:multiLevelType w:val="multilevel"/>
    <w:tmpl w:val="B022A3A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6">
    <w:nsid w:val="1EEB4CA4"/>
    <w:multiLevelType w:val="hybridMultilevel"/>
    <w:tmpl w:val="D00AADA6"/>
    <w:lvl w:ilvl="0" w:tplc="0416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">
    <w:nsid w:val="20A63F41"/>
    <w:multiLevelType w:val="multilevel"/>
    <w:tmpl w:val="A1EEBE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50009"/>
    <w:multiLevelType w:val="multilevel"/>
    <w:tmpl w:val="EAFA3DC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85628"/>
    <w:multiLevelType w:val="multilevel"/>
    <w:tmpl w:val="0ED4584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">
    <w:nsid w:val="35B76D17"/>
    <w:multiLevelType w:val="multilevel"/>
    <w:tmpl w:val="C4E86D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D1695"/>
    <w:multiLevelType w:val="multilevel"/>
    <w:tmpl w:val="336AF1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567A36"/>
    <w:multiLevelType w:val="multilevel"/>
    <w:tmpl w:val="948A106C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7D00"/>
    <w:multiLevelType w:val="hybridMultilevel"/>
    <w:tmpl w:val="8E14380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59A7EBD"/>
    <w:multiLevelType w:val="multilevel"/>
    <w:tmpl w:val="B664BA2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72B2C1B"/>
    <w:multiLevelType w:val="multilevel"/>
    <w:tmpl w:val="9C3E79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2A3A2D"/>
    <w:multiLevelType w:val="multilevel"/>
    <w:tmpl w:val="3FD63E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F916CF"/>
    <w:multiLevelType w:val="multilevel"/>
    <w:tmpl w:val="93EE88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79A25DA"/>
    <w:multiLevelType w:val="hybridMultilevel"/>
    <w:tmpl w:val="B052A60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85F2E2E"/>
    <w:multiLevelType w:val="hybridMultilevel"/>
    <w:tmpl w:val="8A8226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17"/>
  </w:num>
  <w:num w:numId="5">
    <w:abstractNumId w:val="14"/>
  </w:num>
  <w:num w:numId="6">
    <w:abstractNumId w:val="8"/>
  </w:num>
  <w:num w:numId="7">
    <w:abstractNumId w:val="2"/>
  </w:num>
  <w:num w:numId="8">
    <w:abstractNumId w:val="15"/>
  </w:num>
  <w:num w:numId="9">
    <w:abstractNumId w:val="16"/>
  </w:num>
  <w:num w:numId="10">
    <w:abstractNumId w:val="1"/>
  </w:num>
  <w:num w:numId="11">
    <w:abstractNumId w:val="10"/>
  </w:num>
  <w:num w:numId="12">
    <w:abstractNumId w:val="11"/>
  </w:num>
  <w:num w:numId="13">
    <w:abstractNumId w:val="7"/>
  </w:num>
  <w:num w:numId="14">
    <w:abstractNumId w:val="0"/>
  </w:num>
  <w:num w:numId="15">
    <w:abstractNumId w:val="3"/>
  </w:num>
  <w:num w:numId="16">
    <w:abstractNumId w:val="18"/>
  </w:num>
  <w:num w:numId="17">
    <w:abstractNumId w:val="19"/>
  </w:num>
  <w:num w:numId="18">
    <w:abstractNumId w:val="13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017E1"/>
    <w:rsid w:val="000038BF"/>
    <w:rsid w:val="00007CD0"/>
    <w:rsid w:val="00024A26"/>
    <w:rsid w:val="00030D4B"/>
    <w:rsid w:val="00075A48"/>
    <w:rsid w:val="000771CF"/>
    <w:rsid w:val="000816EB"/>
    <w:rsid w:val="000863BC"/>
    <w:rsid w:val="00087791"/>
    <w:rsid w:val="000917D4"/>
    <w:rsid w:val="000A0B2B"/>
    <w:rsid w:val="000D094D"/>
    <w:rsid w:val="000D4F3F"/>
    <w:rsid w:val="001075CC"/>
    <w:rsid w:val="0015055B"/>
    <w:rsid w:val="0019352E"/>
    <w:rsid w:val="001D0995"/>
    <w:rsid w:val="001E2922"/>
    <w:rsid w:val="002245D1"/>
    <w:rsid w:val="00225B63"/>
    <w:rsid w:val="002B2A37"/>
    <w:rsid w:val="002E05FB"/>
    <w:rsid w:val="00381B85"/>
    <w:rsid w:val="00384213"/>
    <w:rsid w:val="003D1E02"/>
    <w:rsid w:val="003D4205"/>
    <w:rsid w:val="004439B8"/>
    <w:rsid w:val="0046110A"/>
    <w:rsid w:val="004A5FB3"/>
    <w:rsid w:val="004E11A5"/>
    <w:rsid w:val="004E7949"/>
    <w:rsid w:val="00517306"/>
    <w:rsid w:val="005410FB"/>
    <w:rsid w:val="00542301"/>
    <w:rsid w:val="00580D56"/>
    <w:rsid w:val="00582D49"/>
    <w:rsid w:val="005A2C91"/>
    <w:rsid w:val="005A50A5"/>
    <w:rsid w:val="005B13A9"/>
    <w:rsid w:val="005C68B0"/>
    <w:rsid w:val="005F15C9"/>
    <w:rsid w:val="006035F6"/>
    <w:rsid w:val="006A7DD2"/>
    <w:rsid w:val="006B6DEB"/>
    <w:rsid w:val="006C3889"/>
    <w:rsid w:val="006F10CE"/>
    <w:rsid w:val="007017E1"/>
    <w:rsid w:val="00706111"/>
    <w:rsid w:val="00707E55"/>
    <w:rsid w:val="00720AF1"/>
    <w:rsid w:val="00743964"/>
    <w:rsid w:val="00746548"/>
    <w:rsid w:val="00781613"/>
    <w:rsid w:val="00790892"/>
    <w:rsid w:val="00790A4A"/>
    <w:rsid w:val="0079460E"/>
    <w:rsid w:val="007C297B"/>
    <w:rsid w:val="007F594D"/>
    <w:rsid w:val="008135A4"/>
    <w:rsid w:val="00845F8F"/>
    <w:rsid w:val="00852A31"/>
    <w:rsid w:val="008B6DA4"/>
    <w:rsid w:val="008C0D99"/>
    <w:rsid w:val="008F6A0C"/>
    <w:rsid w:val="009317FB"/>
    <w:rsid w:val="00942173"/>
    <w:rsid w:val="00976DFC"/>
    <w:rsid w:val="009D2726"/>
    <w:rsid w:val="009E3413"/>
    <w:rsid w:val="00A05F66"/>
    <w:rsid w:val="00A36EFD"/>
    <w:rsid w:val="00A5352C"/>
    <w:rsid w:val="00A65B53"/>
    <w:rsid w:val="00A74F3A"/>
    <w:rsid w:val="00A80EDD"/>
    <w:rsid w:val="00A83072"/>
    <w:rsid w:val="00A91FF1"/>
    <w:rsid w:val="00A963E3"/>
    <w:rsid w:val="00AB2846"/>
    <w:rsid w:val="00B3610C"/>
    <w:rsid w:val="00B836A1"/>
    <w:rsid w:val="00BC1C53"/>
    <w:rsid w:val="00BF2FF2"/>
    <w:rsid w:val="00C01B23"/>
    <w:rsid w:val="00C0207B"/>
    <w:rsid w:val="00C02A7E"/>
    <w:rsid w:val="00C513DD"/>
    <w:rsid w:val="00C63A6B"/>
    <w:rsid w:val="00C63FCD"/>
    <w:rsid w:val="00C76707"/>
    <w:rsid w:val="00C83E4F"/>
    <w:rsid w:val="00C87342"/>
    <w:rsid w:val="00CA02D7"/>
    <w:rsid w:val="00CB7050"/>
    <w:rsid w:val="00CC0B7F"/>
    <w:rsid w:val="00CE2303"/>
    <w:rsid w:val="00CE4A96"/>
    <w:rsid w:val="00CF1403"/>
    <w:rsid w:val="00D210A3"/>
    <w:rsid w:val="00D27B4A"/>
    <w:rsid w:val="00D41B69"/>
    <w:rsid w:val="00D52BE9"/>
    <w:rsid w:val="00D56386"/>
    <w:rsid w:val="00DD3702"/>
    <w:rsid w:val="00E01EC1"/>
    <w:rsid w:val="00E30839"/>
    <w:rsid w:val="00E60E5A"/>
    <w:rsid w:val="00EC5985"/>
    <w:rsid w:val="00F85C69"/>
    <w:rsid w:val="00F94E70"/>
    <w:rsid w:val="00F9523B"/>
    <w:rsid w:val="00FA5F98"/>
    <w:rsid w:val="00FB3F3F"/>
    <w:rsid w:val="00FE05E3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0AE3E4"/>
  <w15:docId w15:val="{44E96456-A16E-488B-BDF2-A38FAF340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Cabealho">
    <w:name w:val="header"/>
    <w:basedOn w:val="Normal"/>
    <w:link w:val="Cabealho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F15C9"/>
  </w:style>
  <w:style w:type="paragraph" w:styleId="Rodap">
    <w:name w:val="footer"/>
    <w:basedOn w:val="Normal"/>
    <w:link w:val="Rodap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F15C9"/>
  </w:style>
  <w:style w:type="paragraph" w:styleId="Textodebalo">
    <w:name w:val="Balloon Text"/>
    <w:basedOn w:val="Normal"/>
    <w:link w:val="TextodebaloChar"/>
    <w:uiPriority w:val="99"/>
    <w:semiHidden/>
    <w:unhideWhenUsed/>
    <w:rsid w:val="004E11A5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11A5"/>
    <w:rPr>
      <w:rFonts w:ascii="Tahoma" w:hAnsi="Tahoma"/>
      <w:sz w:val="16"/>
      <w:szCs w:val="16"/>
    </w:rPr>
  </w:style>
  <w:style w:type="table" w:styleId="Tabelacomgrade">
    <w:name w:val="Table Grid"/>
    <w:basedOn w:val="Tabelanormal"/>
    <w:uiPriority w:val="59"/>
    <w:rsid w:val="00976DF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t-B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633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Kirk</dc:creator>
  <cp:lastModifiedBy>Anderson</cp:lastModifiedBy>
  <cp:revision>4</cp:revision>
  <cp:lastPrinted>2012-11-08T13:33:00Z</cp:lastPrinted>
  <dcterms:created xsi:type="dcterms:W3CDTF">2012-11-08T13:42:00Z</dcterms:created>
  <dcterms:modified xsi:type="dcterms:W3CDTF">2013-08-12T12:59:00Z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