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7F7D6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7F24E" wp14:editId="38C7571B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0D437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151A10BC" w14:textId="4E4F578B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7F24E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1F40D437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151A10BC" w14:textId="4E4F578B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3.2</w:t>
                      </w:r>
                    </w:p>
                  </w:txbxContent>
                </v:textbox>
              </v:shape>
            </w:pict>
          </mc:Fallback>
        </mc:AlternateContent>
      </w:r>
    </w:p>
    <w:p w14:paraId="6F2B9B44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Abordagem X</w:t>
      </w:r>
    </w:p>
    <w:p w14:paraId="76F06753" w14:textId="77777777" w:rsidR="005B52C0" w:rsidRPr="006A7DD2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 w:rsidRPr="006A7DD2">
        <w:rPr>
          <w:rFonts w:ascii="Verdana" w:hAnsi="Verdana"/>
          <w:b/>
          <w:color w:val="000000"/>
          <w:sz w:val="22"/>
          <w:szCs w:val="22"/>
        </w:rPr>
        <w:t>I</w:t>
      </w:r>
      <w:r>
        <w:rPr>
          <w:rFonts w:ascii="Verdana" w:hAnsi="Verdana"/>
          <w:b/>
          <w:color w:val="000000"/>
          <w:sz w:val="22"/>
          <w:szCs w:val="22"/>
        </w:rPr>
        <w:t>.</w:t>
      </w:r>
      <w:r w:rsidRPr="006A7DD2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8D2B2F">
        <w:rPr>
          <w:rFonts w:ascii="Verdana" w:hAnsi="Verdana"/>
          <w:b/>
          <w:color w:val="000000"/>
          <w:sz w:val="22"/>
          <w:szCs w:val="22"/>
        </w:rPr>
        <w:t>Visão Geral</w:t>
      </w:r>
      <w:r>
        <w:rPr>
          <w:rFonts w:ascii="Verdana" w:hAnsi="Verdana"/>
          <w:b/>
          <w:color w:val="000000"/>
          <w:sz w:val="22"/>
          <w:szCs w:val="22"/>
        </w:rPr>
        <w:t xml:space="preserve"> Abordagem X</w:t>
      </w:r>
    </w:p>
    <w:p w14:paraId="7FB8E371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3CC86B5" w14:textId="605A4E88" w:rsidR="003E52F7" w:rsidRDefault="003E52F7" w:rsidP="00937315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Visão Geral Abordagem X</w:t>
      </w:r>
      <w:r w:rsidR="00962BBE">
        <w:rPr>
          <w:rFonts w:ascii="Verdana" w:hAnsi="Verdana"/>
          <w:color w:val="000000" w:themeColor="text1"/>
          <w:sz w:val="18"/>
          <w:szCs w:val="18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522"/>
        <w:gridCol w:w="1026"/>
        <w:gridCol w:w="958"/>
        <w:gridCol w:w="5210"/>
      </w:tblGrid>
      <w:tr w:rsidR="008D2B2F" w:rsidRPr="008D2B2F" w14:paraId="0D878277" w14:textId="77777777" w:rsidTr="001B7031">
        <w:trPr>
          <w:jc w:val="center"/>
        </w:trPr>
        <w:tc>
          <w:tcPr>
            <w:tcW w:w="9716" w:type="dxa"/>
            <w:gridSpan w:val="4"/>
            <w:shd w:val="clear" w:color="auto" w:fill="D9D9D9" w:themeFill="background1" w:themeFillShade="D9"/>
          </w:tcPr>
          <w:p w14:paraId="72FA75D6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Abordagem X</w:t>
            </w:r>
          </w:p>
        </w:tc>
      </w:tr>
      <w:tr w:rsidR="008D2B2F" w:rsidRPr="008D2B2F" w14:paraId="15040F00" w14:textId="77777777" w:rsidTr="008D2B2F">
        <w:trPr>
          <w:jc w:val="center"/>
        </w:trPr>
        <w:tc>
          <w:tcPr>
            <w:tcW w:w="2522" w:type="dxa"/>
            <w:shd w:val="clear" w:color="auto" w:fill="000000" w:themeFill="text1"/>
          </w:tcPr>
          <w:p w14:paraId="22A4BC1D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1026" w:type="dxa"/>
            <w:shd w:val="clear" w:color="auto" w:fill="000000" w:themeFill="text1"/>
          </w:tcPr>
          <w:p w14:paraId="24D176CF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Sim</w:t>
            </w:r>
          </w:p>
        </w:tc>
        <w:tc>
          <w:tcPr>
            <w:tcW w:w="958" w:type="dxa"/>
            <w:shd w:val="clear" w:color="auto" w:fill="000000" w:themeFill="text1"/>
          </w:tcPr>
          <w:p w14:paraId="12C7A79D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Não</w:t>
            </w:r>
          </w:p>
        </w:tc>
        <w:tc>
          <w:tcPr>
            <w:tcW w:w="5210" w:type="dxa"/>
            <w:shd w:val="clear" w:color="auto" w:fill="000000" w:themeFill="text1"/>
          </w:tcPr>
          <w:p w14:paraId="1075DF4C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Observação</w:t>
            </w:r>
          </w:p>
        </w:tc>
      </w:tr>
      <w:tr w:rsidR="008D2B2F" w:rsidRPr="008D2B2F" w14:paraId="4B25A0B8" w14:textId="77777777" w:rsidTr="008D2B2F">
        <w:trPr>
          <w:jc w:val="center"/>
        </w:trPr>
        <w:tc>
          <w:tcPr>
            <w:tcW w:w="2522" w:type="dxa"/>
            <w:vAlign w:val="center"/>
          </w:tcPr>
          <w:p w14:paraId="57C022CE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Baseada em UML?</w:t>
            </w:r>
          </w:p>
        </w:tc>
        <w:tc>
          <w:tcPr>
            <w:tcW w:w="1026" w:type="dxa"/>
            <w:vAlign w:val="center"/>
          </w:tcPr>
          <w:p w14:paraId="01040E55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13A69006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77EFF20C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8D2B2F" w14:paraId="5A16F4C6" w14:textId="77777777" w:rsidTr="008D2B2F">
        <w:trPr>
          <w:jc w:val="center"/>
        </w:trPr>
        <w:tc>
          <w:tcPr>
            <w:tcW w:w="2522" w:type="dxa"/>
            <w:vAlign w:val="center"/>
          </w:tcPr>
          <w:p w14:paraId="7D9399B8" w14:textId="655A9C99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um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Perfil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UML definido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?</w:t>
            </w:r>
          </w:p>
        </w:tc>
        <w:tc>
          <w:tcPr>
            <w:tcW w:w="1026" w:type="dxa"/>
            <w:vAlign w:val="center"/>
          </w:tcPr>
          <w:p w14:paraId="227D10BF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958" w:type="dxa"/>
            <w:vAlign w:val="center"/>
          </w:tcPr>
          <w:p w14:paraId="32F82E41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5210" w:type="dxa"/>
            <w:vAlign w:val="center"/>
          </w:tcPr>
          <w:p w14:paraId="7613364C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EB05D6" w14:paraId="067CC038" w14:textId="77777777" w:rsidTr="008D2B2F">
        <w:trPr>
          <w:jc w:val="center"/>
        </w:trPr>
        <w:tc>
          <w:tcPr>
            <w:tcW w:w="2522" w:type="dxa"/>
            <w:vAlign w:val="center"/>
          </w:tcPr>
          <w:p w14:paraId="3DB930D0" w14:textId="2F981257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um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Processo</w:t>
            </w: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definido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?</w:t>
            </w:r>
          </w:p>
        </w:tc>
        <w:tc>
          <w:tcPr>
            <w:tcW w:w="1026" w:type="dxa"/>
            <w:vAlign w:val="center"/>
          </w:tcPr>
          <w:p w14:paraId="04927016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958" w:type="dxa"/>
            <w:vAlign w:val="center"/>
          </w:tcPr>
          <w:p w14:paraId="00E2AB47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5210" w:type="dxa"/>
            <w:vAlign w:val="center"/>
          </w:tcPr>
          <w:p w14:paraId="12D16783" w14:textId="77777777" w:rsidR="008D2B2F" w:rsidRPr="00EB05D6" w:rsidRDefault="008D2B2F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  <w:tr w:rsidR="008D2B2F" w:rsidRPr="00E85BE8" w14:paraId="081B8889" w14:textId="77777777" w:rsidTr="008D2B2F">
        <w:trPr>
          <w:jc w:val="center"/>
        </w:trPr>
        <w:tc>
          <w:tcPr>
            <w:tcW w:w="2522" w:type="dxa"/>
            <w:vAlign w:val="center"/>
          </w:tcPr>
          <w:p w14:paraId="7AE6E916" w14:textId="780472D6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Utiliza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Estereótipos?</w:t>
            </w:r>
          </w:p>
        </w:tc>
        <w:tc>
          <w:tcPr>
            <w:tcW w:w="1026" w:type="dxa"/>
            <w:vAlign w:val="center"/>
          </w:tcPr>
          <w:p w14:paraId="0788F728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958" w:type="dxa"/>
            <w:vAlign w:val="center"/>
          </w:tcPr>
          <w:p w14:paraId="2C7E62AB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5210" w:type="dxa"/>
            <w:vAlign w:val="center"/>
          </w:tcPr>
          <w:p w14:paraId="079C0940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>Estereótipos específicos, possuindo variações entre modelos.</w:t>
            </w:r>
          </w:p>
        </w:tc>
      </w:tr>
      <w:tr w:rsidR="008D2B2F" w:rsidRPr="00E85BE8" w14:paraId="607F8541" w14:textId="77777777" w:rsidTr="008D2B2F">
        <w:trPr>
          <w:jc w:val="center"/>
        </w:trPr>
        <w:tc>
          <w:tcPr>
            <w:tcW w:w="2522" w:type="dxa"/>
            <w:vAlign w:val="center"/>
          </w:tcPr>
          <w:p w14:paraId="2351B0A9" w14:textId="5DB676C6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Diretrizes?</w:t>
            </w:r>
          </w:p>
        </w:tc>
        <w:tc>
          <w:tcPr>
            <w:tcW w:w="1026" w:type="dxa"/>
            <w:vAlign w:val="center"/>
          </w:tcPr>
          <w:p w14:paraId="0FF3026A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958" w:type="dxa"/>
            <w:vAlign w:val="center"/>
          </w:tcPr>
          <w:p w14:paraId="78B046C4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5210" w:type="dxa"/>
            <w:vAlign w:val="center"/>
          </w:tcPr>
          <w:p w14:paraId="1D97B821" w14:textId="5A783BD3" w:rsidR="008D2B2F" w:rsidRPr="008D2B2F" w:rsidRDefault="008D2B2F" w:rsidP="00D72956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 xml:space="preserve">Especificação de uso da abordagem </w:t>
            </w:r>
            <w:r w:rsidR="00D72956">
              <w:rPr>
                <w:rFonts w:ascii="Verdana" w:hAnsi="Verdana"/>
                <w:sz w:val="20"/>
                <w:szCs w:val="20"/>
                <w:lang w:val="pt-BR"/>
              </w:rPr>
              <w:t>por meio</w:t>
            </w: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 xml:space="preserve"> representação textual.</w:t>
            </w:r>
          </w:p>
        </w:tc>
      </w:tr>
      <w:tr w:rsidR="00EB05D6" w:rsidRPr="00EB05D6" w14:paraId="38CD80A5" w14:textId="77777777" w:rsidTr="008D2B2F">
        <w:trPr>
          <w:jc w:val="center"/>
        </w:trPr>
        <w:tc>
          <w:tcPr>
            <w:tcW w:w="2522" w:type="dxa"/>
            <w:vAlign w:val="center"/>
          </w:tcPr>
          <w:p w14:paraId="7231E32D" w14:textId="58771956" w:rsidR="00EB05D6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Permite representação formal de variabilidade?</w:t>
            </w:r>
          </w:p>
        </w:tc>
        <w:tc>
          <w:tcPr>
            <w:tcW w:w="1026" w:type="dxa"/>
            <w:vAlign w:val="center"/>
          </w:tcPr>
          <w:p w14:paraId="7EE53612" w14:textId="77777777" w:rsidR="00EB05D6" w:rsidRPr="00EB05D6" w:rsidRDefault="00EB05D6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958" w:type="dxa"/>
            <w:vAlign w:val="center"/>
          </w:tcPr>
          <w:p w14:paraId="3A5852FD" w14:textId="6C13D0CE" w:rsidR="00EB05D6" w:rsidRPr="00EB05D6" w:rsidRDefault="00EB05D6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5210" w:type="dxa"/>
            <w:vAlign w:val="center"/>
          </w:tcPr>
          <w:p w14:paraId="697496E3" w14:textId="77777777" w:rsidR="00EB05D6" w:rsidRPr="008D2B2F" w:rsidRDefault="00EB05D6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</w:tbl>
    <w:p w14:paraId="31780915" w14:textId="3E9655C2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650130E9" w14:textId="77777777" w:rsidR="008D2B2F" w:rsidRDefault="008D2B2F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9BE4304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</w:t>
      </w:r>
      <w:r w:rsidR="00E60AD7">
        <w:rPr>
          <w:rFonts w:ascii="Verdana" w:hAnsi="Verdana"/>
          <w:b/>
          <w:color w:val="000000"/>
          <w:sz w:val="22"/>
          <w:szCs w:val="22"/>
        </w:rPr>
        <w:t>I.</w:t>
      </w:r>
      <w:r>
        <w:rPr>
          <w:rFonts w:ascii="Verdana" w:hAnsi="Verdana"/>
          <w:b/>
          <w:color w:val="000000"/>
          <w:sz w:val="22"/>
          <w:szCs w:val="22"/>
        </w:rPr>
        <w:t xml:space="preserve"> Estereótipos e Diretrizes</w:t>
      </w:r>
    </w:p>
    <w:p w14:paraId="131DF1A2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ECB8D05" w14:textId="5A37EDFB" w:rsidR="005B52C0" w:rsidRPr="005B52C0" w:rsidRDefault="005B52C0" w:rsidP="00E82E5E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Nesta seção são apresentados o</w:t>
      </w:r>
      <w:r w:rsidR="00B70DEC">
        <w:rPr>
          <w:rFonts w:ascii="Verdana" w:hAnsi="Verdana"/>
          <w:color w:val="000000"/>
          <w:sz w:val="20"/>
          <w:szCs w:val="20"/>
        </w:rPr>
        <w:t xml:space="preserve">s estereótipos utilizados para a identificação de variabilidades </w:t>
      </w:r>
      <w:r w:rsidR="003B1C69">
        <w:rPr>
          <w:rFonts w:ascii="Verdana" w:hAnsi="Verdana"/>
          <w:color w:val="000000"/>
          <w:sz w:val="20"/>
          <w:szCs w:val="20"/>
        </w:rPr>
        <w:t>no diagrama de classes</w:t>
      </w:r>
      <w:r w:rsidR="008D2B2F">
        <w:rPr>
          <w:rFonts w:ascii="Verdana" w:hAnsi="Verdana"/>
          <w:color w:val="000000"/>
          <w:sz w:val="20"/>
          <w:szCs w:val="20"/>
        </w:rPr>
        <w:t xml:space="preserve">, </w:t>
      </w:r>
      <w:r w:rsidR="00A322CF">
        <w:rPr>
          <w:rFonts w:ascii="Verdana" w:hAnsi="Verdana"/>
          <w:color w:val="000000"/>
          <w:sz w:val="20"/>
          <w:szCs w:val="20"/>
        </w:rPr>
        <w:t xml:space="preserve">por meio </w:t>
      </w:r>
      <w:r w:rsidR="008D2B2F">
        <w:rPr>
          <w:rFonts w:ascii="Verdana" w:hAnsi="Verdana"/>
          <w:color w:val="000000"/>
          <w:sz w:val="20"/>
          <w:szCs w:val="20"/>
        </w:rPr>
        <w:t>da Tabela II,</w:t>
      </w:r>
      <w:r w:rsidR="00245F66">
        <w:rPr>
          <w:rFonts w:ascii="Verdana" w:hAnsi="Verdana"/>
          <w:color w:val="000000"/>
          <w:sz w:val="20"/>
          <w:szCs w:val="20"/>
        </w:rPr>
        <w:t xml:space="preserve"> em seguida</w:t>
      </w:r>
      <w:r w:rsidR="008D2B2F">
        <w:rPr>
          <w:rFonts w:ascii="Verdana" w:hAnsi="Verdana"/>
          <w:color w:val="000000"/>
          <w:sz w:val="20"/>
          <w:szCs w:val="20"/>
        </w:rPr>
        <w:t xml:space="preserve"> exemplos do uso destes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245F66">
        <w:rPr>
          <w:rFonts w:ascii="Verdana" w:hAnsi="Verdana"/>
          <w:color w:val="000000"/>
          <w:sz w:val="20"/>
          <w:szCs w:val="20"/>
        </w:rPr>
        <w:t>são apresentados, seguidos por especificações textuais do seu uso, identificando de forma conceitual as diretrizes.</w:t>
      </w:r>
    </w:p>
    <w:p w14:paraId="61EDE95B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F1E41AA" w14:textId="205E58CD" w:rsidR="000C41E3" w:rsidRPr="008717BA" w:rsidRDefault="000C41E3" w:rsidP="00937315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>
        <w:rPr>
          <w:rFonts w:ascii="Verdana" w:hAnsi="Verdana"/>
          <w:color w:val="000000" w:themeColor="text1"/>
          <w:sz w:val="18"/>
          <w:szCs w:val="18"/>
          <w:lang w:val="pt-BR"/>
        </w:rPr>
        <w:t>Tabela II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Estereótipos da Abordagem X para Casos de Uso</w:t>
      </w:r>
      <w:r w:rsidR="00A47FAF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134"/>
        <w:gridCol w:w="6281"/>
        <w:gridCol w:w="1262"/>
      </w:tblGrid>
      <w:tr w:rsidR="008D2B2F" w:rsidRPr="008D2B2F" w14:paraId="50BD5A40" w14:textId="77777777" w:rsidTr="00DA0B90">
        <w:trPr>
          <w:jc w:val="center"/>
        </w:trPr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6CA0F64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Estereótipos Abordagem X</w:t>
            </w:r>
          </w:p>
        </w:tc>
      </w:tr>
      <w:tr w:rsidR="008D2B2F" w:rsidRPr="008D2B2F" w14:paraId="1E430DB6" w14:textId="77777777" w:rsidTr="00DA0B90">
        <w:trPr>
          <w:jc w:val="center"/>
        </w:trPr>
        <w:tc>
          <w:tcPr>
            <w:tcW w:w="96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C2ACF" w14:textId="312357DE" w:rsidR="008D2B2F" w:rsidRPr="008D2B2F" w:rsidRDefault="008D2B2F" w:rsidP="00DA0B9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Para </w:t>
            </w:r>
            <w:r w:rsidR="00DA0B90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Classes</w:t>
            </w:r>
          </w:p>
        </w:tc>
      </w:tr>
      <w:tr w:rsidR="008D2B2F" w:rsidRPr="008D2B2F" w14:paraId="3F9440A9" w14:textId="77777777" w:rsidTr="00DA0B90">
        <w:trPr>
          <w:jc w:val="center"/>
        </w:trPr>
        <w:tc>
          <w:tcPr>
            <w:tcW w:w="2134" w:type="dxa"/>
            <w:tcBorders>
              <w:top w:val="single" w:sz="4" w:space="0" w:color="auto"/>
            </w:tcBorders>
            <w:shd w:val="clear" w:color="auto" w:fill="000000" w:themeFill="text1"/>
          </w:tcPr>
          <w:p w14:paraId="0D71AFAD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Estereótipo</w:t>
            </w:r>
          </w:p>
        </w:tc>
        <w:tc>
          <w:tcPr>
            <w:tcW w:w="6281" w:type="dxa"/>
            <w:tcBorders>
              <w:top w:val="single" w:sz="4" w:space="0" w:color="auto"/>
            </w:tcBorders>
            <w:shd w:val="clear" w:color="auto" w:fill="000000" w:themeFill="text1"/>
          </w:tcPr>
          <w:p w14:paraId="5D6D27EF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Utilização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000000" w:themeFill="text1"/>
          </w:tcPr>
          <w:p w14:paraId="3FA1DC7B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Exemplo</w:t>
            </w:r>
            <w:r w:rsidR="00387A1C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s</w:t>
            </w:r>
          </w:p>
        </w:tc>
      </w:tr>
      <w:tr w:rsidR="008D2B2F" w:rsidRPr="008D2B2F" w14:paraId="3EFD63E0" w14:textId="77777777" w:rsidTr="008D2B2F">
        <w:trPr>
          <w:jc w:val="center"/>
        </w:trPr>
        <w:tc>
          <w:tcPr>
            <w:tcW w:w="2134" w:type="dxa"/>
            <w:vAlign w:val="center"/>
          </w:tcPr>
          <w:p w14:paraId="35817567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&lt;&lt;kernel&gt;&gt;</w:t>
            </w:r>
          </w:p>
        </w:tc>
        <w:tc>
          <w:tcPr>
            <w:tcW w:w="6281" w:type="dxa"/>
            <w:vAlign w:val="center"/>
          </w:tcPr>
          <w:p w14:paraId="4281BA5F" w14:textId="6DBB56A0" w:rsidR="008D2B2F" w:rsidRPr="008D2B2F" w:rsidRDefault="008D2B2F" w:rsidP="00B70DE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Usado para representar </w:t>
            </w:r>
            <w:r w:rsidR="003B1C6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as classes</w:t>
            </w: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obrigatóri</w:t>
            </w:r>
            <w:r w:rsidR="003B1C6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a</w:t>
            </w: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s, </w:t>
            </w:r>
            <w:r w:rsidR="00B70DEC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ou seja, as que</w:t>
            </w: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estão presentes nos produtos de uma LP</w:t>
            </w:r>
            <w:r w:rsidR="00D128E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. Podem identificar tanto a variabilidade, quanto variante e o ponto de variação.</w:t>
            </w:r>
          </w:p>
        </w:tc>
        <w:tc>
          <w:tcPr>
            <w:tcW w:w="1262" w:type="dxa"/>
            <w:vAlign w:val="center"/>
          </w:tcPr>
          <w:p w14:paraId="05D7B312" w14:textId="6CE057BF" w:rsidR="008D2B2F" w:rsidRPr="008D2B2F" w:rsidRDefault="00375C1B" w:rsidP="0001010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</w:p>
        </w:tc>
      </w:tr>
      <w:tr w:rsidR="008D2B2F" w:rsidRPr="008D2B2F" w14:paraId="5DF047F2" w14:textId="77777777" w:rsidTr="008D2B2F">
        <w:trPr>
          <w:jc w:val="center"/>
        </w:trPr>
        <w:tc>
          <w:tcPr>
            <w:tcW w:w="2134" w:type="dxa"/>
            <w:vAlign w:val="center"/>
          </w:tcPr>
          <w:p w14:paraId="19ED53E8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&lt;&lt;optional&gt;&gt;</w:t>
            </w:r>
          </w:p>
        </w:tc>
        <w:tc>
          <w:tcPr>
            <w:tcW w:w="6281" w:type="dxa"/>
            <w:vAlign w:val="center"/>
          </w:tcPr>
          <w:p w14:paraId="473372CE" w14:textId="77777777" w:rsidR="003B1C69" w:rsidRDefault="008D2B2F" w:rsidP="008D2B2F">
            <w:pPr>
              <w:widowControl/>
              <w:suppressAutoHyphens w:val="0"/>
              <w:autoSpaceDN/>
              <w:textAlignment w:val="auto"/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Usados para representar os casos de uso que podem ou não estarem presentes em um produto</w:t>
            </w:r>
            <w:r w:rsidR="00D128E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. Podem identificar tanto a variabilidade, quanto variante e o ponto de variação.</w:t>
            </w:r>
            <w:r w:rsidR="003B1C6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</w:t>
            </w:r>
          </w:p>
          <w:p w14:paraId="40B8A25B" w14:textId="60327E68" w:rsidR="008D2B2F" w:rsidRPr="008D2B2F" w:rsidRDefault="003B1C69" w:rsidP="00C34CCD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Em classes</w:t>
            </w:r>
            <w:r w:rsidR="00C34CCD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,</w:t>
            </w: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este estereótipo é aplicado também como forma de distinguir as classes mutualmente exclusivas</w:t>
            </w:r>
            <w:r w:rsidR="00C34CCD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,</w:t>
            </w: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ou seja</w:t>
            </w:r>
            <w:r w:rsidR="00C34CCD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, as que não podem coexistir</w:t>
            </w: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na criação de um produto.</w:t>
            </w:r>
          </w:p>
        </w:tc>
        <w:tc>
          <w:tcPr>
            <w:tcW w:w="1262" w:type="dxa"/>
            <w:vAlign w:val="center"/>
          </w:tcPr>
          <w:p w14:paraId="063943F2" w14:textId="75931918" w:rsidR="008D2B2F" w:rsidRPr="008D2B2F" w:rsidRDefault="00387A1C" w:rsidP="0001010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</w:p>
        </w:tc>
      </w:tr>
    </w:tbl>
    <w:p w14:paraId="63172C80" w14:textId="77777777" w:rsidR="00E06B08" w:rsidRDefault="00E06B08" w:rsidP="008D2B2F">
      <w:pPr>
        <w:pStyle w:val="Standard"/>
        <w:rPr>
          <w:rFonts w:ascii="Verdana" w:hAnsi="Verdana"/>
          <w:b/>
          <w:sz w:val="22"/>
          <w:szCs w:val="22"/>
        </w:rPr>
      </w:pPr>
    </w:p>
    <w:p w14:paraId="4CBF98E2" w14:textId="77777777" w:rsidR="008D2B2F" w:rsidRPr="00B72F5F" w:rsidRDefault="008D2B2F" w:rsidP="008D2B2F">
      <w:pPr>
        <w:pStyle w:val="Standard"/>
        <w:rPr>
          <w:rFonts w:ascii="Verdana" w:hAnsi="Verdana"/>
          <w:b/>
          <w:i/>
          <w:sz w:val="22"/>
          <w:szCs w:val="22"/>
        </w:rPr>
      </w:pPr>
      <w:r w:rsidRPr="00B72F5F">
        <w:rPr>
          <w:rFonts w:ascii="Verdana" w:hAnsi="Verdana"/>
          <w:b/>
          <w:sz w:val="22"/>
          <w:szCs w:val="22"/>
        </w:rPr>
        <w:t>II.1 Exemplos</w:t>
      </w:r>
    </w:p>
    <w:p w14:paraId="6D58E1B4" w14:textId="77777777" w:rsidR="00234C72" w:rsidRPr="00B72F5F" w:rsidRDefault="00234C72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05D79ACC" w14:textId="62A05724" w:rsidR="005B52C0" w:rsidRDefault="00B72F5F" w:rsidP="008D2B2F">
      <w:pPr>
        <w:rPr>
          <w:rFonts w:ascii="Verdana" w:hAnsi="Verdana"/>
          <w:b/>
          <w:i/>
          <w:sz w:val="22"/>
          <w:szCs w:val="22"/>
          <w:lang w:val="pt-BR"/>
        </w:rPr>
      </w:pPr>
      <w:r w:rsidRPr="00B72F5F">
        <w:rPr>
          <w:rFonts w:ascii="Verdana" w:hAnsi="Verdana"/>
          <w:b/>
          <w:i/>
          <w:sz w:val="22"/>
          <w:szCs w:val="22"/>
          <w:lang w:val="pt-BR"/>
        </w:rPr>
        <w:t>Classes</w:t>
      </w:r>
    </w:p>
    <w:p w14:paraId="7F2DDCDC" w14:textId="77777777" w:rsidR="00B5292D" w:rsidRPr="00B72F5F" w:rsidRDefault="00B5292D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0C644EC0" w14:textId="2C8B4487" w:rsidR="00B5292D" w:rsidRDefault="00B5292D" w:rsidP="00B5292D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Para a identificação da variabilidades e similaridades </w:t>
      </w:r>
      <w:r w:rsidR="00D72956">
        <w:rPr>
          <w:rFonts w:ascii="Verdana" w:hAnsi="Verdana"/>
          <w:sz w:val="20"/>
          <w:szCs w:val="20"/>
          <w:lang w:val="pt-BR"/>
        </w:rPr>
        <w:t>por meio</w:t>
      </w:r>
      <w:r>
        <w:rPr>
          <w:rFonts w:ascii="Verdana" w:hAnsi="Verdana"/>
          <w:sz w:val="20"/>
          <w:szCs w:val="20"/>
          <w:lang w:val="pt-BR"/>
        </w:rPr>
        <w:t xml:space="preserve"> da Abordagem X aplica-se um dos estereótipos apresentados na Tabela II, para cada classe existente no modelo e de acordo com a especificação da Linha de Produto a ser modelada.</w:t>
      </w:r>
    </w:p>
    <w:p w14:paraId="3B5A46DF" w14:textId="0E01D240" w:rsidR="008D2B2F" w:rsidRDefault="00B72F5F" w:rsidP="008D2B2F">
      <w:pPr>
        <w:spacing w:after="120"/>
        <w:ind w:firstLine="709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lastRenderedPageBreak/>
        <w:drawing>
          <wp:inline distT="0" distB="0" distL="0" distR="0" wp14:anchorId="76EBA3A2" wp14:editId="4531626B">
            <wp:extent cx="3905924" cy="3287677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o de Classes da Característica _Ordenação de Elementos_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385" cy="329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DACC9" w14:textId="3B8ACB83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1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</w:t>
      </w:r>
      <w:r w:rsidR="00375C1B">
        <w:rPr>
          <w:rFonts w:ascii="Verdana" w:hAnsi="Verdana"/>
          <w:color w:val="000000" w:themeColor="text1"/>
          <w:sz w:val="18"/>
          <w:szCs w:val="18"/>
          <w:lang w:val="pt-BR"/>
        </w:rPr>
        <w:t>e</w:t>
      </w:r>
      <w:r w:rsidR="00B72F5F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Modelo de Variabilidade em</w:t>
      </w:r>
      <w:r w:rsidR="00375C1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 w:rsidR="00B72F5F">
        <w:rPr>
          <w:rFonts w:ascii="Verdana" w:hAnsi="Verdana"/>
          <w:color w:val="000000" w:themeColor="text1"/>
          <w:sz w:val="18"/>
          <w:szCs w:val="18"/>
          <w:lang w:val="pt-BR"/>
        </w:rPr>
        <w:t>Diagrama de Classes com a</w:t>
      </w:r>
      <w:r w:rsidR="00375C1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Abordagem X</w:t>
      </w:r>
      <w:r w:rsidR="00E65F3C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p w14:paraId="798A3F8C" w14:textId="3016F27C" w:rsidR="00B72F5F" w:rsidRDefault="00B72F5F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Para o exemplo de linha de produto de ”Ordenação de Elementos”, as classes obrigatórias, ou seja, as que são similares para todos os produtos gerados a partir de tal LP são estereotipadas como </w:t>
      </w:r>
      <w:r w:rsidRPr="00B72F5F">
        <w:rPr>
          <w:rFonts w:ascii="Verdana" w:hAnsi="Verdana"/>
          <w:i/>
          <w:sz w:val="20"/>
          <w:szCs w:val="20"/>
          <w:lang w:val="pt-BR"/>
        </w:rPr>
        <w:t>&lt;&lt;kernel&gt;&gt;</w:t>
      </w:r>
      <w:r w:rsidR="00C34CCD">
        <w:rPr>
          <w:rFonts w:ascii="Verdana" w:hAnsi="Verdana"/>
          <w:sz w:val="20"/>
          <w:szCs w:val="20"/>
          <w:lang w:val="pt-BR"/>
        </w:rPr>
        <w:t xml:space="preserve">, como a classe </w:t>
      </w:r>
      <w:r w:rsidR="00C34CCD">
        <w:rPr>
          <w:rFonts w:ascii="Verdana" w:hAnsi="Verdana"/>
          <w:b/>
          <w:sz w:val="20"/>
          <w:szCs w:val="20"/>
          <w:lang w:val="pt-BR"/>
        </w:rPr>
        <w:t>ProgramaPrincipalOrdenacao</w:t>
      </w:r>
      <w:r>
        <w:rPr>
          <w:rFonts w:ascii="Verdana" w:hAnsi="Verdana"/>
          <w:i/>
          <w:sz w:val="20"/>
          <w:szCs w:val="20"/>
          <w:lang w:val="pt-BR"/>
        </w:rPr>
        <w:t>.</w:t>
      </w:r>
      <w:r>
        <w:rPr>
          <w:rFonts w:ascii="Verdana" w:hAnsi="Verdana"/>
          <w:sz w:val="20"/>
          <w:szCs w:val="20"/>
          <w:lang w:val="pt-BR"/>
        </w:rPr>
        <w:t xml:space="preserve"> Para as classes que são alternativas, podendo ser selecionadas se mutualmente exclusivas, mutualmente inclusivas e também opcionais ocorre </w:t>
      </w:r>
      <w:r w:rsidR="0001010C">
        <w:rPr>
          <w:rFonts w:ascii="Verdana" w:hAnsi="Verdana"/>
          <w:sz w:val="20"/>
          <w:szCs w:val="20"/>
          <w:lang w:val="pt-BR"/>
        </w:rPr>
        <w:t>à</w:t>
      </w:r>
      <w:r>
        <w:rPr>
          <w:rFonts w:ascii="Verdana" w:hAnsi="Verdana"/>
          <w:sz w:val="20"/>
          <w:szCs w:val="20"/>
          <w:lang w:val="pt-BR"/>
        </w:rPr>
        <w:t xml:space="preserve"> aplicação do estereótipo </w:t>
      </w:r>
      <w:r>
        <w:rPr>
          <w:rFonts w:ascii="Verdana" w:hAnsi="Verdana"/>
          <w:i/>
          <w:sz w:val="20"/>
          <w:szCs w:val="20"/>
          <w:lang w:val="pt-BR"/>
        </w:rPr>
        <w:t>&lt;&lt;optional&gt;&gt;</w:t>
      </w:r>
      <w:r w:rsidR="00C34CCD">
        <w:rPr>
          <w:rFonts w:ascii="Verdana" w:hAnsi="Verdana"/>
          <w:sz w:val="20"/>
          <w:szCs w:val="20"/>
          <w:lang w:val="pt-BR"/>
        </w:rPr>
        <w:t xml:space="preserve">, como para a classe </w:t>
      </w:r>
      <w:r w:rsidR="00C34CCD">
        <w:rPr>
          <w:rFonts w:ascii="Verdana" w:hAnsi="Verdana"/>
          <w:b/>
          <w:sz w:val="20"/>
          <w:szCs w:val="20"/>
          <w:lang w:val="pt-BR"/>
        </w:rPr>
        <w:t>ElementoOrdenacao</w:t>
      </w:r>
      <w:r>
        <w:rPr>
          <w:rFonts w:ascii="Verdana" w:hAnsi="Verdana"/>
          <w:sz w:val="20"/>
          <w:szCs w:val="20"/>
          <w:lang w:val="pt-BR"/>
        </w:rPr>
        <w:t>.</w:t>
      </w:r>
    </w:p>
    <w:p w14:paraId="02CECF84" w14:textId="68CBAAA3" w:rsidR="00E06B08" w:rsidRPr="00E06B08" w:rsidRDefault="00E06B08" w:rsidP="00E06B08">
      <w:pPr>
        <w:spacing w:after="120"/>
        <w:ind w:firstLine="567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  <w:bookmarkStart w:id="0" w:name="_GoBack"/>
      <w:bookmarkEnd w:id="0"/>
    </w:p>
    <w:sectPr w:rsidR="00E06B08" w:rsidRPr="00E06B08" w:rsidSect="00C83E4F">
      <w:footerReference w:type="default" r:id="rId9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50F3C" w14:textId="77777777" w:rsidR="008F624D" w:rsidRDefault="008F624D" w:rsidP="005B52C0">
      <w:r>
        <w:separator/>
      </w:r>
    </w:p>
  </w:endnote>
  <w:endnote w:type="continuationSeparator" w:id="0">
    <w:p w14:paraId="109953A4" w14:textId="77777777" w:rsidR="008F624D" w:rsidRDefault="008F624D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BA20C52" w14:textId="4129E0FE" w:rsidR="005F15C9" w:rsidRPr="005F15C9" w:rsidRDefault="00900C5D">
        <w:pPr>
          <w:pStyle w:val="Rodap"/>
          <w:jc w:val="right"/>
          <w:rPr>
            <w:rFonts w:ascii="Verdana" w:hAnsi="Verdana"/>
            <w:lang w:val="pt-BR"/>
          </w:rPr>
        </w:pPr>
        <w:r w:rsidRPr="00900C5D">
          <w:rPr>
            <w:rFonts w:ascii="Verdana" w:hAnsi="Verdana"/>
            <w:sz w:val="14"/>
            <w:szCs w:val="14"/>
            <w:lang w:val="pt-BR"/>
          </w:rPr>
          <w:t>Especificação</w:t>
        </w:r>
        <w:r w:rsidR="00BB75C9" w:rsidRPr="00900C5D">
          <w:rPr>
            <w:rFonts w:ascii="Verdana" w:hAnsi="Verdana"/>
            <w:sz w:val="14"/>
            <w:szCs w:val="14"/>
            <w:lang w:val="pt-BR"/>
          </w:rPr>
          <w:t xml:space="preserve"> </w:t>
        </w:r>
        <w:r w:rsidR="005B52C0" w:rsidRPr="00900C5D">
          <w:rPr>
            <w:rFonts w:ascii="Verdana" w:hAnsi="Verdana"/>
            <w:sz w:val="14"/>
            <w:szCs w:val="14"/>
            <w:lang w:val="pt-BR"/>
          </w:rPr>
          <w:t>Abordagem X</w:t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BB75C9" w:rsidRPr="005F15C9">
          <w:rPr>
            <w:rFonts w:ascii="Verdana" w:hAnsi="Verdana"/>
          </w:rPr>
          <w:fldChar w:fldCharType="begin"/>
        </w:r>
        <w:r w:rsidR="00BB75C9" w:rsidRPr="005F15C9">
          <w:rPr>
            <w:rFonts w:ascii="Verdana" w:hAnsi="Verdana"/>
            <w:lang w:val="pt-BR"/>
          </w:rPr>
          <w:instrText>PAGE   \* MERGEFORMAT</w:instrText>
        </w:r>
        <w:r w:rsidR="00BB75C9" w:rsidRPr="005F15C9">
          <w:rPr>
            <w:rFonts w:ascii="Verdana" w:hAnsi="Verdana"/>
          </w:rPr>
          <w:fldChar w:fldCharType="separate"/>
        </w:r>
        <w:r w:rsidR="00E85BE8">
          <w:rPr>
            <w:rFonts w:ascii="Verdana" w:hAnsi="Verdana"/>
            <w:noProof/>
            <w:lang w:val="pt-BR"/>
          </w:rPr>
          <w:t>2</w:t>
        </w:r>
        <w:r w:rsidR="00BB75C9" w:rsidRPr="005F15C9">
          <w:rPr>
            <w:rFonts w:ascii="Verdana" w:hAnsi="Verdana"/>
          </w:rPr>
          <w:fldChar w:fldCharType="end"/>
        </w:r>
      </w:p>
    </w:sdtContent>
  </w:sdt>
  <w:p w14:paraId="62BF4B54" w14:textId="77777777" w:rsidR="005F15C9" w:rsidRPr="005F15C9" w:rsidRDefault="008F624D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F7590" w14:textId="77777777" w:rsidR="008F624D" w:rsidRDefault="008F624D" w:rsidP="005B52C0">
      <w:r>
        <w:separator/>
      </w:r>
    </w:p>
  </w:footnote>
  <w:footnote w:type="continuationSeparator" w:id="0">
    <w:p w14:paraId="3885F41A" w14:textId="77777777" w:rsidR="008F624D" w:rsidRDefault="008F624D" w:rsidP="005B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010C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2B43"/>
    <w:rsid w:val="000935CA"/>
    <w:rsid w:val="00093742"/>
    <w:rsid w:val="00094872"/>
    <w:rsid w:val="000A3BC2"/>
    <w:rsid w:val="000A4B08"/>
    <w:rsid w:val="000B1DB2"/>
    <w:rsid w:val="000B2959"/>
    <w:rsid w:val="000C32F5"/>
    <w:rsid w:val="000C41E3"/>
    <w:rsid w:val="000C5AE2"/>
    <w:rsid w:val="000C5FDF"/>
    <w:rsid w:val="000D2126"/>
    <w:rsid w:val="000D2A07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652E"/>
    <w:rsid w:val="001168D4"/>
    <w:rsid w:val="00117E18"/>
    <w:rsid w:val="00120233"/>
    <w:rsid w:val="00121102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12B8"/>
    <w:rsid w:val="001504EB"/>
    <w:rsid w:val="00154431"/>
    <w:rsid w:val="001559F3"/>
    <w:rsid w:val="00156339"/>
    <w:rsid w:val="00156B5B"/>
    <w:rsid w:val="00157090"/>
    <w:rsid w:val="00161B00"/>
    <w:rsid w:val="00163C45"/>
    <w:rsid w:val="001644D7"/>
    <w:rsid w:val="00165EB1"/>
    <w:rsid w:val="00165FFA"/>
    <w:rsid w:val="0016661B"/>
    <w:rsid w:val="0016765E"/>
    <w:rsid w:val="001706E8"/>
    <w:rsid w:val="00170B64"/>
    <w:rsid w:val="00173E16"/>
    <w:rsid w:val="00175324"/>
    <w:rsid w:val="00177004"/>
    <w:rsid w:val="001773F7"/>
    <w:rsid w:val="00177ADC"/>
    <w:rsid w:val="00181EB2"/>
    <w:rsid w:val="00182E73"/>
    <w:rsid w:val="001830EB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B7031"/>
    <w:rsid w:val="001C0808"/>
    <w:rsid w:val="001C162A"/>
    <w:rsid w:val="001C1691"/>
    <w:rsid w:val="001C2608"/>
    <w:rsid w:val="001C4208"/>
    <w:rsid w:val="001C4210"/>
    <w:rsid w:val="001C616C"/>
    <w:rsid w:val="001C64B8"/>
    <w:rsid w:val="001D0223"/>
    <w:rsid w:val="001D0734"/>
    <w:rsid w:val="001D0D48"/>
    <w:rsid w:val="001D27CC"/>
    <w:rsid w:val="001D4887"/>
    <w:rsid w:val="001D6F82"/>
    <w:rsid w:val="001E03B0"/>
    <w:rsid w:val="001E093E"/>
    <w:rsid w:val="001E0CF0"/>
    <w:rsid w:val="001E1C47"/>
    <w:rsid w:val="001E37DE"/>
    <w:rsid w:val="001E4582"/>
    <w:rsid w:val="001F34A9"/>
    <w:rsid w:val="001F5638"/>
    <w:rsid w:val="002018B9"/>
    <w:rsid w:val="00201BA5"/>
    <w:rsid w:val="002037AB"/>
    <w:rsid w:val="0020479F"/>
    <w:rsid w:val="00204B1B"/>
    <w:rsid w:val="00204B32"/>
    <w:rsid w:val="0020534C"/>
    <w:rsid w:val="00205D61"/>
    <w:rsid w:val="002065FC"/>
    <w:rsid w:val="00206898"/>
    <w:rsid w:val="0021318B"/>
    <w:rsid w:val="002143AC"/>
    <w:rsid w:val="0021501F"/>
    <w:rsid w:val="002158D3"/>
    <w:rsid w:val="002167CD"/>
    <w:rsid w:val="0021775A"/>
    <w:rsid w:val="00217FA3"/>
    <w:rsid w:val="00220560"/>
    <w:rsid w:val="0022641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5F6A"/>
    <w:rsid w:val="0025617E"/>
    <w:rsid w:val="002568E3"/>
    <w:rsid w:val="00256D37"/>
    <w:rsid w:val="0025726B"/>
    <w:rsid w:val="00260547"/>
    <w:rsid w:val="00262D30"/>
    <w:rsid w:val="00263591"/>
    <w:rsid w:val="002642FA"/>
    <w:rsid w:val="0026475E"/>
    <w:rsid w:val="00264CD8"/>
    <w:rsid w:val="002701EE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1A31"/>
    <w:rsid w:val="002D1E79"/>
    <w:rsid w:val="002D3FD6"/>
    <w:rsid w:val="002D587D"/>
    <w:rsid w:val="002D6A54"/>
    <w:rsid w:val="002D70A1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1067"/>
    <w:rsid w:val="00301BB4"/>
    <w:rsid w:val="00303ADE"/>
    <w:rsid w:val="00305430"/>
    <w:rsid w:val="00311E9F"/>
    <w:rsid w:val="00316ED0"/>
    <w:rsid w:val="0031794E"/>
    <w:rsid w:val="00320502"/>
    <w:rsid w:val="003241D4"/>
    <w:rsid w:val="003250F8"/>
    <w:rsid w:val="00326103"/>
    <w:rsid w:val="00326F95"/>
    <w:rsid w:val="00330F1F"/>
    <w:rsid w:val="0033253B"/>
    <w:rsid w:val="00333831"/>
    <w:rsid w:val="00333A8E"/>
    <w:rsid w:val="00333EEE"/>
    <w:rsid w:val="0033488E"/>
    <w:rsid w:val="00335F6E"/>
    <w:rsid w:val="00337CEF"/>
    <w:rsid w:val="00343F20"/>
    <w:rsid w:val="0034438D"/>
    <w:rsid w:val="00351A53"/>
    <w:rsid w:val="00354759"/>
    <w:rsid w:val="00354919"/>
    <w:rsid w:val="00356587"/>
    <w:rsid w:val="003572B8"/>
    <w:rsid w:val="003638A1"/>
    <w:rsid w:val="00365328"/>
    <w:rsid w:val="00367A8C"/>
    <w:rsid w:val="0037102A"/>
    <w:rsid w:val="00371BDC"/>
    <w:rsid w:val="003741E7"/>
    <w:rsid w:val="00375C1B"/>
    <w:rsid w:val="0037664C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87A1C"/>
    <w:rsid w:val="0039028D"/>
    <w:rsid w:val="003916A5"/>
    <w:rsid w:val="00391F84"/>
    <w:rsid w:val="003926DC"/>
    <w:rsid w:val="003954DA"/>
    <w:rsid w:val="00397738"/>
    <w:rsid w:val="003A0B04"/>
    <w:rsid w:val="003A3FF4"/>
    <w:rsid w:val="003A518E"/>
    <w:rsid w:val="003A5C7D"/>
    <w:rsid w:val="003A7594"/>
    <w:rsid w:val="003A7867"/>
    <w:rsid w:val="003B1C69"/>
    <w:rsid w:val="003B3C26"/>
    <w:rsid w:val="003B5869"/>
    <w:rsid w:val="003B5D35"/>
    <w:rsid w:val="003B62F1"/>
    <w:rsid w:val="003C0D52"/>
    <w:rsid w:val="003C10E7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2F7"/>
    <w:rsid w:val="003E5385"/>
    <w:rsid w:val="003E623B"/>
    <w:rsid w:val="003F1960"/>
    <w:rsid w:val="003F2F55"/>
    <w:rsid w:val="003F34FE"/>
    <w:rsid w:val="003F4BBB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118A"/>
    <w:rsid w:val="00411DDC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4E55"/>
    <w:rsid w:val="00494E9A"/>
    <w:rsid w:val="004A1103"/>
    <w:rsid w:val="004A15F5"/>
    <w:rsid w:val="004A2916"/>
    <w:rsid w:val="004A29CE"/>
    <w:rsid w:val="004A443D"/>
    <w:rsid w:val="004A5121"/>
    <w:rsid w:val="004A572E"/>
    <w:rsid w:val="004A59CB"/>
    <w:rsid w:val="004A6616"/>
    <w:rsid w:val="004A6769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D12"/>
    <w:rsid w:val="004E5E5F"/>
    <w:rsid w:val="004E5F65"/>
    <w:rsid w:val="004E66ED"/>
    <w:rsid w:val="004E77A8"/>
    <w:rsid w:val="004F027B"/>
    <w:rsid w:val="004F06D7"/>
    <w:rsid w:val="004F0991"/>
    <w:rsid w:val="004F1B35"/>
    <w:rsid w:val="004F2A2E"/>
    <w:rsid w:val="004F3741"/>
    <w:rsid w:val="004F3C3C"/>
    <w:rsid w:val="004F5577"/>
    <w:rsid w:val="004F6A0B"/>
    <w:rsid w:val="00500FC2"/>
    <w:rsid w:val="00501EE4"/>
    <w:rsid w:val="00502CF1"/>
    <w:rsid w:val="005039B6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4513"/>
    <w:rsid w:val="0052465E"/>
    <w:rsid w:val="00526A54"/>
    <w:rsid w:val="00531786"/>
    <w:rsid w:val="0053292C"/>
    <w:rsid w:val="005342B2"/>
    <w:rsid w:val="00535F6B"/>
    <w:rsid w:val="00536572"/>
    <w:rsid w:val="005375BD"/>
    <w:rsid w:val="00540E7D"/>
    <w:rsid w:val="00541ED1"/>
    <w:rsid w:val="00543E31"/>
    <w:rsid w:val="00545881"/>
    <w:rsid w:val="0054608D"/>
    <w:rsid w:val="00550A2F"/>
    <w:rsid w:val="00552832"/>
    <w:rsid w:val="00555470"/>
    <w:rsid w:val="00555F29"/>
    <w:rsid w:val="00555FE0"/>
    <w:rsid w:val="0055663C"/>
    <w:rsid w:val="0055694E"/>
    <w:rsid w:val="005610EA"/>
    <w:rsid w:val="005627DA"/>
    <w:rsid w:val="00563658"/>
    <w:rsid w:val="00571322"/>
    <w:rsid w:val="00571E61"/>
    <w:rsid w:val="00571E9A"/>
    <w:rsid w:val="00572F2B"/>
    <w:rsid w:val="005733BF"/>
    <w:rsid w:val="00573CFC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7FB0"/>
    <w:rsid w:val="005A0E41"/>
    <w:rsid w:val="005A477A"/>
    <w:rsid w:val="005A5635"/>
    <w:rsid w:val="005B04CD"/>
    <w:rsid w:val="005B0B8C"/>
    <w:rsid w:val="005B4714"/>
    <w:rsid w:val="005B4A2B"/>
    <w:rsid w:val="005B52C0"/>
    <w:rsid w:val="005C0C84"/>
    <w:rsid w:val="005C21A9"/>
    <w:rsid w:val="005C3243"/>
    <w:rsid w:val="005C7A99"/>
    <w:rsid w:val="005D478A"/>
    <w:rsid w:val="005D54AC"/>
    <w:rsid w:val="005D7AAF"/>
    <w:rsid w:val="005E0CA8"/>
    <w:rsid w:val="005E3A8A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420EF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6ECA"/>
    <w:rsid w:val="006F1242"/>
    <w:rsid w:val="006F15FF"/>
    <w:rsid w:val="006F5708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60B1"/>
    <w:rsid w:val="0074013E"/>
    <w:rsid w:val="007416AB"/>
    <w:rsid w:val="00743646"/>
    <w:rsid w:val="00744BAE"/>
    <w:rsid w:val="007457E5"/>
    <w:rsid w:val="0074694E"/>
    <w:rsid w:val="00746DDF"/>
    <w:rsid w:val="0074744A"/>
    <w:rsid w:val="00747CCE"/>
    <w:rsid w:val="00747D13"/>
    <w:rsid w:val="0075192D"/>
    <w:rsid w:val="0075257A"/>
    <w:rsid w:val="00752CFA"/>
    <w:rsid w:val="00754D02"/>
    <w:rsid w:val="00757B5F"/>
    <w:rsid w:val="0076283D"/>
    <w:rsid w:val="007631DF"/>
    <w:rsid w:val="00764F6B"/>
    <w:rsid w:val="00765B72"/>
    <w:rsid w:val="00770187"/>
    <w:rsid w:val="00771378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7C4B"/>
    <w:rsid w:val="00787DE9"/>
    <w:rsid w:val="00787FD6"/>
    <w:rsid w:val="007906AF"/>
    <w:rsid w:val="00792B0D"/>
    <w:rsid w:val="00792C81"/>
    <w:rsid w:val="00794455"/>
    <w:rsid w:val="0079562D"/>
    <w:rsid w:val="007A0CC4"/>
    <w:rsid w:val="007A4038"/>
    <w:rsid w:val="007A4546"/>
    <w:rsid w:val="007A5065"/>
    <w:rsid w:val="007A5971"/>
    <w:rsid w:val="007A6091"/>
    <w:rsid w:val="007A7DC3"/>
    <w:rsid w:val="007B1730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721"/>
    <w:rsid w:val="007F619D"/>
    <w:rsid w:val="007F7A61"/>
    <w:rsid w:val="00801EDE"/>
    <w:rsid w:val="0080292F"/>
    <w:rsid w:val="00803715"/>
    <w:rsid w:val="00804114"/>
    <w:rsid w:val="008051B0"/>
    <w:rsid w:val="00805890"/>
    <w:rsid w:val="00805AF2"/>
    <w:rsid w:val="00806AC2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17BA"/>
    <w:rsid w:val="00872038"/>
    <w:rsid w:val="0087290E"/>
    <w:rsid w:val="00872D97"/>
    <w:rsid w:val="00874ECC"/>
    <w:rsid w:val="00876218"/>
    <w:rsid w:val="00877811"/>
    <w:rsid w:val="0088130A"/>
    <w:rsid w:val="0088179A"/>
    <w:rsid w:val="0088201C"/>
    <w:rsid w:val="008821AA"/>
    <w:rsid w:val="008837E7"/>
    <w:rsid w:val="00884DFD"/>
    <w:rsid w:val="008863EC"/>
    <w:rsid w:val="0088791A"/>
    <w:rsid w:val="00887B36"/>
    <w:rsid w:val="00893F06"/>
    <w:rsid w:val="0089476D"/>
    <w:rsid w:val="0089536D"/>
    <w:rsid w:val="0089621B"/>
    <w:rsid w:val="0089644A"/>
    <w:rsid w:val="00896E7B"/>
    <w:rsid w:val="0089795D"/>
    <w:rsid w:val="00897FD7"/>
    <w:rsid w:val="008A151D"/>
    <w:rsid w:val="008A1DD4"/>
    <w:rsid w:val="008A448F"/>
    <w:rsid w:val="008A5EF8"/>
    <w:rsid w:val="008A7705"/>
    <w:rsid w:val="008A7ECC"/>
    <w:rsid w:val="008B0EC2"/>
    <w:rsid w:val="008B10AD"/>
    <w:rsid w:val="008B4E3F"/>
    <w:rsid w:val="008B66B9"/>
    <w:rsid w:val="008C176C"/>
    <w:rsid w:val="008C34C4"/>
    <w:rsid w:val="008C34F5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FF5"/>
    <w:rsid w:val="008F624D"/>
    <w:rsid w:val="008F6D4A"/>
    <w:rsid w:val="008F6DD5"/>
    <w:rsid w:val="00900C5D"/>
    <w:rsid w:val="00903EFF"/>
    <w:rsid w:val="009046BD"/>
    <w:rsid w:val="00905C26"/>
    <w:rsid w:val="009062BF"/>
    <w:rsid w:val="009108EA"/>
    <w:rsid w:val="00911B22"/>
    <w:rsid w:val="009135CD"/>
    <w:rsid w:val="009202C5"/>
    <w:rsid w:val="0092157E"/>
    <w:rsid w:val="0092684F"/>
    <w:rsid w:val="00937315"/>
    <w:rsid w:val="00942541"/>
    <w:rsid w:val="00942895"/>
    <w:rsid w:val="00944895"/>
    <w:rsid w:val="00945D10"/>
    <w:rsid w:val="00945D72"/>
    <w:rsid w:val="009469ED"/>
    <w:rsid w:val="00947AF4"/>
    <w:rsid w:val="00951FAE"/>
    <w:rsid w:val="00954E24"/>
    <w:rsid w:val="009573DE"/>
    <w:rsid w:val="00961027"/>
    <w:rsid w:val="0096148A"/>
    <w:rsid w:val="00961B0F"/>
    <w:rsid w:val="00961DCD"/>
    <w:rsid w:val="00962BBE"/>
    <w:rsid w:val="00963753"/>
    <w:rsid w:val="00966FF4"/>
    <w:rsid w:val="00970F30"/>
    <w:rsid w:val="00974607"/>
    <w:rsid w:val="009751A2"/>
    <w:rsid w:val="00976980"/>
    <w:rsid w:val="009775D3"/>
    <w:rsid w:val="0098527F"/>
    <w:rsid w:val="00986758"/>
    <w:rsid w:val="00986851"/>
    <w:rsid w:val="009872AC"/>
    <w:rsid w:val="009928AF"/>
    <w:rsid w:val="00994F78"/>
    <w:rsid w:val="00995CA0"/>
    <w:rsid w:val="00995F83"/>
    <w:rsid w:val="009A1DB3"/>
    <w:rsid w:val="009A6762"/>
    <w:rsid w:val="009A79A7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D039A"/>
    <w:rsid w:val="009D2019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59F8"/>
    <w:rsid w:val="00A1697E"/>
    <w:rsid w:val="00A17017"/>
    <w:rsid w:val="00A1780C"/>
    <w:rsid w:val="00A20352"/>
    <w:rsid w:val="00A24738"/>
    <w:rsid w:val="00A310E3"/>
    <w:rsid w:val="00A31F77"/>
    <w:rsid w:val="00A322CF"/>
    <w:rsid w:val="00A333EC"/>
    <w:rsid w:val="00A365E5"/>
    <w:rsid w:val="00A36EEE"/>
    <w:rsid w:val="00A427FF"/>
    <w:rsid w:val="00A43E17"/>
    <w:rsid w:val="00A4699F"/>
    <w:rsid w:val="00A46C2F"/>
    <w:rsid w:val="00A470B4"/>
    <w:rsid w:val="00A477BB"/>
    <w:rsid w:val="00A47FAF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ADD"/>
    <w:rsid w:val="00AA66A4"/>
    <w:rsid w:val="00AA6BB1"/>
    <w:rsid w:val="00AB143A"/>
    <w:rsid w:val="00AB1DC9"/>
    <w:rsid w:val="00AB3DA3"/>
    <w:rsid w:val="00AB69A8"/>
    <w:rsid w:val="00AC3BE3"/>
    <w:rsid w:val="00AC40E9"/>
    <w:rsid w:val="00AC4BF6"/>
    <w:rsid w:val="00AC55D3"/>
    <w:rsid w:val="00AC7298"/>
    <w:rsid w:val="00AD07FF"/>
    <w:rsid w:val="00AD0975"/>
    <w:rsid w:val="00AD0CC9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601E"/>
    <w:rsid w:val="00B236AB"/>
    <w:rsid w:val="00B2608C"/>
    <w:rsid w:val="00B313B9"/>
    <w:rsid w:val="00B323BC"/>
    <w:rsid w:val="00B348A5"/>
    <w:rsid w:val="00B36777"/>
    <w:rsid w:val="00B37271"/>
    <w:rsid w:val="00B41C4B"/>
    <w:rsid w:val="00B436B5"/>
    <w:rsid w:val="00B464B6"/>
    <w:rsid w:val="00B469BD"/>
    <w:rsid w:val="00B5292D"/>
    <w:rsid w:val="00B542D6"/>
    <w:rsid w:val="00B559BD"/>
    <w:rsid w:val="00B60555"/>
    <w:rsid w:val="00B611FF"/>
    <w:rsid w:val="00B63B48"/>
    <w:rsid w:val="00B64E62"/>
    <w:rsid w:val="00B6636F"/>
    <w:rsid w:val="00B70DEC"/>
    <w:rsid w:val="00B71281"/>
    <w:rsid w:val="00B72F5F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541A"/>
    <w:rsid w:val="00BB746E"/>
    <w:rsid w:val="00BB75C9"/>
    <w:rsid w:val="00BC0195"/>
    <w:rsid w:val="00BC092A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0C30"/>
    <w:rsid w:val="00BE1906"/>
    <w:rsid w:val="00BE217B"/>
    <w:rsid w:val="00BE42B1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6539"/>
    <w:rsid w:val="00C06895"/>
    <w:rsid w:val="00C0755A"/>
    <w:rsid w:val="00C112C6"/>
    <w:rsid w:val="00C12D1C"/>
    <w:rsid w:val="00C132CB"/>
    <w:rsid w:val="00C13B3B"/>
    <w:rsid w:val="00C21287"/>
    <w:rsid w:val="00C212AC"/>
    <w:rsid w:val="00C2276D"/>
    <w:rsid w:val="00C23E90"/>
    <w:rsid w:val="00C27F55"/>
    <w:rsid w:val="00C313F6"/>
    <w:rsid w:val="00C34CCD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8AC"/>
    <w:rsid w:val="00C55AEB"/>
    <w:rsid w:val="00C55CF3"/>
    <w:rsid w:val="00C56407"/>
    <w:rsid w:val="00C5735D"/>
    <w:rsid w:val="00C57A42"/>
    <w:rsid w:val="00C57C7A"/>
    <w:rsid w:val="00C57D2C"/>
    <w:rsid w:val="00C609BA"/>
    <w:rsid w:val="00C61001"/>
    <w:rsid w:val="00C62317"/>
    <w:rsid w:val="00C62470"/>
    <w:rsid w:val="00C6361C"/>
    <w:rsid w:val="00C63F54"/>
    <w:rsid w:val="00C65912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2230"/>
    <w:rsid w:val="00C824E0"/>
    <w:rsid w:val="00C85459"/>
    <w:rsid w:val="00C867E7"/>
    <w:rsid w:val="00C94463"/>
    <w:rsid w:val="00C94957"/>
    <w:rsid w:val="00C950F8"/>
    <w:rsid w:val="00C95A72"/>
    <w:rsid w:val="00CA2BDC"/>
    <w:rsid w:val="00CA7A83"/>
    <w:rsid w:val="00CA7DAF"/>
    <w:rsid w:val="00CB01F8"/>
    <w:rsid w:val="00CB2767"/>
    <w:rsid w:val="00CB3653"/>
    <w:rsid w:val="00CB3C9F"/>
    <w:rsid w:val="00CB692D"/>
    <w:rsid w:val="00CC18D9"/>
    <w:rsid w:val="00CC1E5F"/>
    <w:rsid w:val="00CC36D2"/>
    <w:rsid w:val="00CC3C4B"/>
    <w:rsid w:val="00CC4F12"/>
    <w:rsid w:val="00CC538E"/>
    <w:rsid w:val="00CC5A86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F42"/>
    <w:rsid w:val="00CF57A2"/>
    <w:rsid w:val="00CF6782"/>
    <w:rsid w:val="00CF6CE5"/>
    <w:rsid w:val="00CF77A2"/>
    <w:rsid w:val="00D0130C"/>
    <w:rsid w:val="00D05940"/>
    <w:rsid w:val="00D066FD"/>
    <w:rsid w:val="00D07961"/>
    <w:rsid w:val="00D1077A"/>
    <w:rsid w:val="00D118B2"/>
    <w:rsid w:val="00D128EB"/>
    <w:rsid w:val="00D15F1D"/>
    <w:rsid w:val="00D16214"/>
    <w:rsid w:val="00D17377"/>
    <w:rsid w:val="00D20918"/>
    <w:rsid w:val="00D2314D"/>
    <w:rsid w:val="00D24C30"/>
    <w:rsid w:val="00D25299"/>
    <w:rsid w:val="00D26522"/>
    <w:rsid w:val="00D349DD"/>
    <w:rsid w:val="00D40310"/>
    <w:rsid w:val="00D42A07"/>
    <w:rsid w:val="00D441A5"/>
    <w:rsid w:val="00D45624"/>
    <w:rsid w:val="00D5146F"/>
    <w:rsid w:val="00D51EFF"/>
    <w:rsid w:val="00D548BF"/>
    <w:rsid w:val="00D561AE"/>
    <w:rsid w:val="00D61C9E"/>
    <w:rsid w:val="00D64E37"/>
    <w:rsid w:val="00D6686F"/>
    <w:rsid w:val="00D70219"/>
    <w:rsid w:val="00D70D45"/>
    <w:rsid w:val="00D72956"/>
    <w:rsid w:val="00D72C57"/>
    <w:rsid w:val="00D730AE"/>
    <w:rsid w:val="00D7311F"/>
    <w:rsid w:val="00D745DE"/>
    <w:rsid w:val="00D7751C"/>
    <w:rsid w:val="00D77DE7"/>
    <w:rsid w:val="00D8072D"/>
    <w:rsid w:val="00D8259F"/>
    <w:rsid w:val="00D83BDE"/>
    <w:rsid w:val="00D84ED7"/>
    <w:rsid w:val="00D860FE"/>
    <w:rsid w:val="00D87345"/>
    <w:rsid w:val="00D91046"/>
    <w:rsid w:val="00D916E1"/>
    <w:rsid w:val="00D921CD"/>
    <w:rsid w:val="00D939F6"/>
    <w:rsid w:val="00D976D6"/>
    <w:rsid w:val="00DA0B90"/>
    <w:rsid w:val="00DA18A6"/>
    <w:rsid w:val="00DA1C90"/>
    <w:rsid w:val="00DA4735"/>
    <w:rsid w:val="00DA6446"/>
    <w:rsid w:val="00DB19F9"/>
    <w:rsid w:val="00DB2AFB"/>
    <w:rsid w:val="00DB6E9B"/>
    <w:rsid w:val="00DB7893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E0B"/>
    <w:rsid w:val="00DE0F15"/>
    <w:rsid w:val="00DE424C"/>
    <w:rsid w:val="00DE5100"/>
    <w:rsid w:val="00DE66FE"/>
    <w:rsid w:val="00DF0CBD"/>
    <w:rsid w:val="00DF3265"/>
    <w:rsid w:val="00DF4D77"/>
    <w:rsid w:val="00DF503D"/>
    <w:rsid w:val="00E00948"/>
    <w:rsid w:val="00E0368F"/>
    <w:rsid w:val="00E04B18"/>
    <w:rsid w:val="00E05A6C"/>
    <w:rsid w:val="00E06B08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2F62"/>
    <w:rsid w:val="00E355EA"/>
    <w:rsid w:val="00E3563D"/>
    <w:rsid w:val="00E35BB1"/>
    <w:rsid w:val="00E36710"/>
    <w:rsid w:val="00E37C17"/>
    <w:rsid w:val="00E40691"/>
    <w:rsid w:val="00E40874"/>
    <w:rsid w:val="00E40FB2"/>
    <w:rsid w:val="00E4360E"/>
    <w:rsid w:val="00E44CCA"/>
    <w:rsid w:val="00E47CEB"/>
    <w:rsid w:val="00E50FD4"/>
    <w:rsid w:val="00E51030"/>
    <w:rsid w:val="00E51600"/>
    <w:rsid w:val="00E5747A"/>
    <w:rsid w:val="00E575E6"/>
    <w:rsid w:val="00E60AD7"/>
    <w:rsid w:val="00E60EDF"/>
    <w:rsid w:val="00E641BF"/>
    <w:rsid w:val="00E65F3C"/>
    <w:rsid w:val="00E660FE"/>
    <w:rsid w:val="00E6726A"/>
    <w:rsid w:val="00E7105E"/>
    <w:rsid w:val="00E72A88"/>
    <w:rsid w:val="00E72CF0"/>
    <w:rsid w:val="00E74325"/>
    <w:rsid w:val="00E75FEB"/>
    <w:rsid w:val="00E7715A"/>
    <w:rsid w:val="00E77635"/>
    <w:rsid w:val="00E817F0"/>
    <w:rsid w:val="00E82E5E"/>
    <w:rsid w:val="00E842EE"/>
    <w:rsid w:val="00E84AAD"/>
    <w:rsid w:val="00E85BE8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B05D6"/>
    <w:rsid w:val="00EB24B2"/>
    <w:rsid w:val="00EB339B"/>
    <w:rsid w:val="00EB3F08"/>
    <w:rsid w:val="00EB591E"/>
    <w:rsid w:val="00EB69AA"/>
    <w:rsid w:val="00EC1A77"/>
    <w:rsid w:val="00EC6925"/>
    <w:rsid w:val="00EC6CBE"/>
    <w:rsid w:val="00ED42E9"/>
    <w:rsid w:val="00ED62E2"/>
    <w:rsid w:val="00ED6E5A"/>
    <w:rsid w:val="00ED6EA4"/>
    <w:rsid w:val="00ED78C0"/>
    <w:rsid w:val="00EE34F6"/>
    <w:rsid w:val="00EE4DF6"/>
    <w:rsid w:val="00EE6C7C"/>
    <w:rsid w:val="00EF0693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3056"/>
    <w:rsid w:val="00F23806"/>
    <w:rsid w:val="00F26831"/>
    <w:rsid w:val="00F26BD9"/>
    <w:rsid w:val="00F30EFB"/>
    <w:rsid w:val="00F34E1E"/>
    <w:rsid w:val="00F35494"/>
    <w:rsid w:val="00F3689A"/>
    <w:rsid w:val="00F36D62"/>
    <w:rsid w:val="00F376DE"/>
    <w:rsid w:val="00F40125"/>
    <w:rsid w:val="00F4069D"/>
    <w:rsid w:val="00F40DE4"/>
    <w:rsid w:val="00F412D4"/>
    <w:rsid w:val="00F420C8"/>
    <w:rsid w:val="00F43E0E"/>
    <w:rsid w:val="00F45585"/>
    <w:rsid w:val="00F46CCC"/>
    <w:rsid w:val="00F504A0"/>
    <w:rsid w:val="00F5127B"/>
    <w:rsid w:val="00F54EFD"/>
    <w:rsid w:val="00F57F1B"/>
    <w:rsid w:val="00F602CF"/>
    <w:rsid w:val="00F62C68"/>
    <w:rsid w:val="00F652A7"/>
    <w:rsid w:val="00F70D66"/>
    <w:rsid w:val="00F71D1D"/>
    <w:rsid w:val="00F74526"/>
    <w:rsid w:val="00F772AF"/>
    <w:rsid w:val="00F81529"/>
    <w:rsid w:val="00F816DF"/>
    <w:rsid w:val="00F86372"/>
    <w:rsid w:val="00F8654D"/>
    <w:rsid w:val="00F937EA"/>
    <w:rsid w:val="00F93E7E"/>
    <w:rsid w:val="00F95726"/>
    <w:rsid w:val="00FA040B"/>
    <w:rsid w:val="00FA0E8E"/>
    <w:rsid w:val="00FA23A6"/>
    <w:rsid w:val="00FA5214"/>
    <w:rsid w:val="00FA52FA"/>
    <w:rsid w:val="00FA61FE"/>
    <w:rsid w:val="00FB1C0D"/>
    <w:rsid w:val="00FC2897"/>
    <w:rsid w:val="00FC2D0D"/>
    <w:rsid w:val="00FC5105"/>
    <w:rsid w:val="00FD050B"/>
    <w:rsid w:val="00FD1C99"/>
    <w:rsid w:val="00FD1D03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A0089"/>
  <w15:docId w15:val="{6D84BA6A-3DE6-4612-BBA2-81DA1AFA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C64B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C64B8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C64B8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C64B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C64B8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C9FE8-B5CD-486A-9383-ACF44E30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2</cp:revision>
  <cp:lastPrinted>2013-03-27T13:37:00Z</cp:lastPrinted>
  <dcterms:created xsi:type="dcterms:W3CDTF">2013-10-25T17:11:00Z</dcterms:created>
  <dcterms:modified xsi:type="dcterms:W3CDTF">2013-10-25T17:11:00Z</dcterms:modified>
</cp:coreProperties>
</file>