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103BAF" w14:textId="6DB9B860" w:rsidR="007017E1" w:rsidRDefault="00A83072">
      <w:pPr>
        <w:pStyle w:val="Standard"/>
        <w:pBdr>
          <w:bottom w:val="single" w:sz="4" w:space="1" w:color="000000"/>
        </w:pBdr>
        <w:jc w:val="center"/>
      </w:pPr>
      <w:r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C110D" wp14:editId="4A56CDCE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45529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C3F99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4ED0AAF2" w14:textId="051DEB5D" w:rsidR="00A83072" w:rsidRPr="001F49D1" w:rsidRDefault="00D56386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C110D" id="Caixa de texto 20" o:spid="_x0000_s1026" style="position:absolute;left:0;text-align:left;margin-left:-1.4pt;margin-top:-11.5pt;width:35.8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52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umEmQIAALwFAAAOAAAAZHJzL2Uyb0RvYy54bWysVEtPGzEQvlfqf7B8bzYJCYWIDUqDqCoh&#10;QISKs+O1iYXtsWyT3fTXd+zdvIALVS+7Y883r88zc3HZGE3WwgcFtqSDXp8SYTlUyj6X9Pfj9bcz&#10;SkJktmIarCjpRgR6Of365aJ2EzGEFehKeIJObJjUrqSrGN2kKAJfCcNCD5ywqJTgDYt49M9F5VmN&#10;3o0uhv3+aVGDr5wHLkLA26tWSafZv5SCxzspg4hElxRzi/nr83eZvsX0gk2ePXMrxbs02D9kYZiy&#10;GHTn6opFRl69eufKKO4hgIw9DqYAKRUXuQasZtB/U81ixZzItSA5we1oCv/PLb9d33uiqpIOkR7L&#10;DL7RnKmGkUqQKJoIBBXIUu3CBMELh/DY/IAGX3t7H/AyFd9Ib9IfyyKoR4ebHcfoinC8HI3Hw/Mx&#10;JRxVo5PBWT97L/bGzof4U4AhSShpsMoNHvAdM71sfRMiZoP4LS4FDKBVda20zofUO2KuPVkzfHUd&#10;c55ocYTSltQlPT0Z97PjI11yvbNfasZfUqXHHvCkbQoncpd1aSWWWjayFDdaJIy2D0Iiy5mUD3Jk&#10;nAu7yzOjE0piRZ8x7PD7rD5j3NaBFjky2LgzNsqCb1k6prZ62VIrWzySdFB3EmOzbLruWUK1webx&#10;0A5hcPxaIdE3LMR75nHqsF9wk8Q7/EgN+DrQSZSswP/56D7hcRhQS0mNU1xSi2uGEv3L4pCcD0aj&#10;NPT5MBp/Ty3uDzXLQ419NXPAhhngxnI8iwkf9VaUHswTrptZiokqZjlGLmncivPYbhZcV1zMZhmE&#10;Y+5YvLELx5PrRG5qr8fmiXnX9Xias1vYTjubvOnyFpssLcxeI0iVRyDR23La0Y4rIndpt87SDjo8&#10;Z9R+6U7/AgAA//8DAFBLAwQUAAYACAAAACEAp+zdWd8AAAAIAQAADwAAAGRycy9kb3ducmV2Lnht&#10;bEyPQWsCMRCF74X+hzCFXopmte2i282KFFToTVuKx7iJm6XJZEmixn/f8dSeHsN7vPlevcjOsrMO&#10;sfcoYDIugGlsveqxE/D1uRrNgMUkUUnrUQu46giL5v6ulpXyF9zq8y51jEowVlKASWmoOI+t0U7G&#10;sR80knf0wclEZ+i4CvJC5c7yaVGU3Mke6YORg343uv3ZnZyA0qqV6SZpnTfhY3192uy/l3kvxOND&#10;Xr4BSzqnvzDc8AkdGmI6+BOqyKyA0ZTI002faRMFytkc2EHAy2sBvKn5/wHNLwAAAP//AwBQSwEC&#10;LQAUAAYACAAAACEAtoM4kv4AAADhAQAAEwAAAAAAAAAAAAAAAAAAAAAAW0NvbnRlbnRfVHlwZXNd&#10;LnhtbFBLAQItABQABgAIAAAAIQA4/SH/1gAAAJQBAAALAAAAAAAAAAAAAAAAAC8BAABfcmVscy8u&#10;cmVsc1BLAQItABQABgAIAAAAIQDOYumEmQIAALwFAAAOAAAAAAAAAAAAAAAAAC4CAABkcnMvZTJv&#10;RG9jLnhtbFBLAQItABQABgAIAAAAIQCn7N1Z3wAAAAgBAAAPAAAAAAAAAAAAAAAAAPMEAABkcnMv&#10;ZG93bnJldi54bWxQSwUGAAAAAAQABADzAAAA/wUAAAAA&#10;" adj="-11796480,,5400" path="m,l383327,r71968,71968l455295,431800,,431800,,xe" fillcolor="white [3201]" strokeweight=".5pt">
                <v:stroke joinstyle="miter"/>
                <v:formulas/>
                <v:path arrowok="t" o:connecttype="custom" o:connectlocs="0,0;383327,0;455295,71968;455295,431800;0,431800;0,0" o:connectangles="0,0,0,0,0,0" textboxrect="0,0,455295,431800"/>
                <v:textbox>
                  <w:txbxContent>
                    <w:p w14:paraId="376C3F99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4ED0AAF2" w14:textId="051DEB5D" w:rsidR="00A83072" w:rsidRPr="001F49D1" w:rsidRDefault="00D56386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D40B0"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Banking </w:t>
      </w:r>
      <w:proofErr w:type="spellStart"/>
      <w:r w:rsidR="005D40B0">
        <w:rPr>
          <w:rFonts w:ascii="Verdana" w:hAnsi="Verdana"/>
          <w:b/>
          <w:bCs/>
          <w:i/>
          <w:iCs/>
          <w:color w:val="000000"/>
          <w:sz w:val="28"/>
          <w:szCs w:val="28"/>
        </w:rPr>
        <w:t>Product</w:t>
      </w:r>
      <w:proofErr w:type="spellEnd"/>
      <w:r w:rsidR="005D40B0">
        <w:rPr>
          <w:rFonts w:ascii="Verdana" w:hAnsi="Verdana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5D40B0">
        <w:rPr>
          <w:rFonts w:ascii="Verdana" w:hAnsi="Verdana"/>
          <w:b/>
          <w:bCs/>
          <w:i/>
          <w:iCs/>
          <w:color w:val="000000"/>
          <w:sz w:val="28"/>
          <w:szCs w:val="28"/>
        </w:rPr>
        <w:t>Line</w:t>
      </w:r>
      <w:proofErr w:type="spellEnd"/>
      <w:r w:rsidR="002E05FB">
        <w:rPr>
          <w:rFonts w:ascii="Verdana" w:hAnsi="Verdana"/>
          <w:b/>
          <w:bCs/>
          <w:color w:val="000000"/>
          <w:sz w:val="28"/>
          <w:szCs w:val="28"/>
        </w:rPr>
        <w:t>:</w:t>
      </w:r>
    </w:p>
    <w:p w14:paraId="6ECE7C1E" w14:textId="77777777" w:rsidR="007017E1" w:rsidRDefault="002E05FB">
      <w:pPr>
        <w:pStyle w:val="Standard"/>
        <w:pBdr>
          <w:bottom w:val="single" w:sz="4" w:space="1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>
        <w:rPr>
          <w:rFonts w:ascii="Verdana" w:hAnsi="Verdana"/>
          <w:b/>
          <w:bCs/>
          <w:color w:val="000000"/>
          <w:sz w:val="28"/>
          <w:szCs w:val="28"/>
        </w:rPr>
        <w:t>Descrição Geral da Linha de Produto</w:t>
      </w:r>
    </w:p>
    <w:p w14:paraId="027C790C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7C3C756E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I. Identificação</w:t>
      </w:r>
    </w:p>
    <w:p w14:paraId="3672066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BE398CA" w14:textId="77777777" w:rsidR="005B5193" w:rsidRDefault="002E05FB">
      <w:pPr>
        <w:pStyle w:val="Standard"/>
        <w:ind w:firstLine="709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linha de produto (LP</w:t>
      </w:r>
      <w:r w:rsidR="005D40B0">
        <w:rPr>
          <w:rFonts w:ascii="Verdana" w:hAnsi="Verdana"/>
          <w:color w:val="000000"/>
          <w:sz w:val="20"/>
          <w:szCs w:val="20"/>
        </w:rPr>
        <w:t>S</w:t>
      </w:r>
      <w:r>
        <w:rPr>
          <w:rFonts w:ascii="Verdana" w:hAnsi="Verdana"/>
          <w:color w:val="000000"/>
          <w:sz w:val="20"/>
          <w:szCs w:val="20"/>
        </w:rPr>
        <w:t xml:space="preserve">) </w:t>
      </w:r>
      <w:r>
        <w:rPr>
          <w:rFonts w:ascii="Verdana" w:hAnsi="Verdana"/>
          <w:iCs/>
          <w:color w:val="000000"/>
          <w:sz w:val="20"/>
          <w:szCs w:val="20"/>
        </w:rPr>
        <w:t xml:space="preserve">de </w:t>
      </w:r>
      <w:r w:rsidR="005B375C">
        <w:rPr>
          <w:rFonts w:ascii="Verdana" w:hAnsi="Verdana"/>
          <w:i/>
          <w:iCs/>
          <w:color w:val="000000"/>
          <w:sz w:val="20"/>
          <w:szCs w:val="20"/>
        </w:rPr>
        <w:t xml:space="preserve">Banking </w:t>
      </w:r>
      <w:r w:rsidR="005B375C">
        <w:rPr>
          <w:rFonts w:ascii="Verdana" w:hAnsi="Verdana"/>
          <w:iCs/>
          <w:color w:val="000000"/>
          <w:sz w:val="20"/>
          <w:szCs w:val="20"/>
        </w:rPr>
        <w:t xml:space="preserve">(linha de produto bancária) é um conjunto de produtos que fornece funcionalidades simples aos clientes em um domínio de transações bancárias. </w:t>
      </w:r>
      <w:r w:rsidR="005B5193">
        <w:rPr>
          <w:rFonts w:ascii="Verdana" w:hAnsi="Verdana"/>
          <w:iCs/>
          <w:color w:val="000000"/>
          <w:sz w:val="20"/>
          <w:szCs w:val="20"/>
        </w:rPr>
        <w:t>As quatro funcionalidades principais da mesma são:</w:t>
      </w:r>
    </w:p>
    <w:p w14:paraId="68A81052" w14:textId="6E7E5EF0" w:rsidR="005B5193" w:rsidRDefault="005B5193" w:rsidP="005B5193">
      <w:pPr>
        <w:pStyle w:val="Standard"/>
        <w:numPr>
          <w:ilvl w:val="0"/>
          <w:numId w:val="15"/>
        </w:numPr>
        <w:ind w:left="1276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Criação de contas – clientes são capazes de abrir contas simples mas, para isso, devem manter um saldo mínimo nesta. A conta possui</w:t>
      </w:r>
      <w:r w:rsidR="008E1921">
        <w:rPr>
          <w:rFonts w:ascii="Verdana" w:hAnsi="Verdana"/>
          <w:iCs/>
          <w:color w:val="000000"/>
          <w:sz w:val="20"/>
          <w:szCs w:val="20"/>
        </w:rPr>
        <w:t>, ou não,</w:t>
      </w:r>
      <w:r>
        <w:rPr>
          <w:rFonts w:ascii="Verdana" w:hAnsi="Verdana"/>
          <w:iCs/>
          <w:color w:val="000000"/>
          <w:sz w:val="20"/>
          <w:szCs w:val="20"/>
        </w:rPr>
        <w:t xml:space="preserve"> um limite associado, especificando quanto o cliente poderá sacar;</w:t>
      </w:r>
    </w:p>
    <w:p w14:paraId="6ED4E133" w14:textId="74F244F0" w:rsidR="005B5193" w:rsidRDefault="005B5193" w:rsidP="005B5193">
      <w:pPr>
        <w:pStyle w:val="Standard"/>
        <w:numPr>
          <w:ilvl w:val="0"/>
          <w:numId w:val="15"/>
        </w:numPr>
        <w:ind w:left="1276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Depósito em dinheiro na conta – clientes podem depositar uma quantia de dinheiro em sua conta;</w:t>
      </w:r>
    </w:p>
    <w:p w14:paraId="27514C8B" w14:textId="04B6BC10" w:rsidR="005B5193" w:rsidRDefault="005B5193" w:rsidP="005B5193">
      <w:pPr>
        <w:pStyle w:val="Standard"/>
        <w:numPr>
          <w:ilvl w:val="0"/>
          <w:numId w:val="15"/>
        </w:numPr>
        <w:ind w:left="1276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Saque de dinheiro da conta – Clientes pode</w:t>
      </w:r>
      <w:r w:rsidR="004D3A57">
        <w:rPr>
          <w:rFonts w:ascii="Verdana" w:hAnsi="Verdana"/>
          <w:iCs/>
          <w:color w:val="000000"/>
          <w:sz w:val="20"/>
          <w:szCs w:val="20"/>
        </w:rPr>
        <w:t>m sacar dinheiro de suas contas. Se a conta possuir um limite, o cliente poderá sacar apenas o valor especificado neste limite. Caso o cliente não possua um limite, não poderá sacar além do valor que possui disponível em sua conta;</w:t>
      </w:r>
    </w:p>
    <w:p w14:paraId="1B682095" w14:textId="6C8135DA" w:rsidR="004D3A57" w:rsidRDefault="004D3A57" w:rsidP="005B5193">
      <w:pPr>
        <w:pStyle w:val="Standard"/>
        <w:numPr>
          <w:ilvl w:val="0"/>
          <w:numId w:val="15"/>
        </w:numPr>
        <w:ind w:left="1276"/>
        <w:jc w:val="both"/>
        <w:rPr>
          <w:rFonts w:ascii="Verdana" w:hAnsi="Verdana"/>
          <w:iCs/>
          <w:color w:val="000000"/>
          <w:sz w:val="20"/>
          <w:szCs w:val="20"/>
        </w:rPr>
      </w:pPr>
      <w:r>
        <w:rPr>
          <w:rFonts w:ascii="Verdana" w:hAnsi="Verdana"/>
          <w:iCs/>
          <w:color w:val="000000"/>
          <w:sz w:val="20"/>
          <w:szCs w:val="20"/>
        </w:rPr>
        <w:t>Cálculo de Câmbio – O sistema do banco pode oferecer a funcionalidade para a realização de cálculo de câmbio. Esta particularida</w:t>
      </w:r>
      <w:r w:rsidR="008E1921">
        <w:rPr>
          <w:rFonts w:ascii="Verdana" w:hAnsi="Verdana"/>
          <w:iCs/>
          <w:color w:val="000000"/>
          <w:sz w:val="20"/>
          <w:szCs w:val="20"/>
        </w:rPr>
        <w:t>de permite o cálculo entre euro</w:t>
      </w:r>
      <w:r>
        <w:rPr>
          <w:rFonts w:ascii="Verdana" w:hAnsi="Verdana"/>
          <w:iCs/>
          <w:color w:val="000000"/>
          <w:sz w:val="20"/>
          <w:szCs w:val="20"/>
        </w:rPr>
        <w:t>, dólar, etc.</w:t>
      </w:r>
    </w:p>
    <w:p w14:paraId="6A8BD687" w14:textId="77777777" w:rsidR="004D3A57" w:rsidRDefault="004D3A57" w:rsidP="004D3A57">
      <w:pPr>
        <w:pStyle w:val="Standard"/>
        <w:ind w:left="1276"/>
        <w:jc w:val="both"/>
        <w:rPr>
          <w:rFonts w:ascii="Verdana" w:hAnsi="Verdana"/>
          <w:iCs/>
          <w:color w:val="000000"/>
          <w:sz w:val="20"/>
          <w:szCs w:val="20"/>
        </w:rPr>
      </w:pPr>
    </w:p>
    <w:p w14:paraId="7A024FE6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45C01D6B" w14:textId="77777777" w:rsidR="007017E1" w:rsidRDefault="002E05FB">
      <w:pPr>
        <w:pStyle w:val="Standard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II. Similaridades e Variabilidades</w:t>
      </w:r>
    </w:p>
    <w:p w14:paraId="76357D3E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7D129886" w14:textId="375FB915" w:rsidR="00A415D3" w:rsidRPr="005B375C" w:rsidRDefault="00A415D3" w:rsidP="00A03075">
      <w:pPr>
        <w:pStyle w:val="Standard"/>
        <w:ind w:firstLine="709"/>
        <w:jc w:val="both"/>
        <w:rPr>
          <w:rFonts w:ascii="Verdana" w:hAnsi="Verdana"/>
          <w:color w:val="000000"/>
          <w:sz w:val="20"/>
          <w:szCs w:val="22"/>
        </w:rPr>
      </w:pPr>
      <w:r w:rsidRPr="005B375C">
        <w:rPr>
          <w:rFonts w:ascii="Verdana" w:hAnsi="Verdana"/>
          <w:color w:val="000000"/>
          <w:sz w:val="20"/>
          <w:szCs w:val="22"/>
        </w:rPr>
        <w:t xml:space="preserve">Nesta seção são apresentadas as </w:t>
      </w:r>
      <w:r w:rsidR="000C3656" w:rsidRPr="005B375C">
        <w:rPr>
          <w:rFonts w:ascii="Verdana" w:hAnsi="Verdana"/>
          <w:color w:val="000000"/>
          <w:sz w:val="20"/>
          <w:szCs w:val="22"/>
        </w:rPr>
        <w:t>similaridades</w:t>
      </w:r>
      <w:r w:rsidR="00D64B1D" w:rsidRPr="005B375C">
        <w:rPr>
          <w:rFonts w:ascii="Verdana" w:hAnsi="Verdana"/>
          <w:color w:val="000000"/>
          <w:sz w:val="20"/>
          <w:szCs w:val="22"/>
        </w:rPr>
        <w:t xml:space="preserve"> da LP</w:t>
      </w:r>
      <w:r w:rsidR="004D3A57">
        <w:rPr>
          <w:rFonts w:ascii="Verdana" w:hAnsi="Verdana"/>
          <w:color w:val="000000"/>
          <w:sz w:val="20"/>
          <w:szCs w:val="22"/>
        </w:rPr>
        <w:t>S</w:t>
      </w:r>
      <w:r w:rsidR="00B61AEB" w:rsidRPr="005B375C">
        <w:rPr>
          <w:rFonts w:ascii="Verdana" w:hAnsi="Verdana"/>
          <w:color w:val="000000"/>
          <w:sz w:val="20"/>
          <w:szCs w:val="22"/>
        </w:rPr>
        <w:t>, ou seja, os aspectos comuns a todos os produtos desta LP</w:t>
      </w:r>
      <w:r w:rsidR="004D3A57">
        <w:rPr>
          <w:rFonts w:ascii="Verdana" w:hAnsi="Verdana"/>
          <w:color w:val="000000"/>
          <w:sz w:val="20"/>
          <w:szCs w:val="22"/>
        </w:rPr>
        <w:t>S</w:t>
      </w:r>
      <w:r w:rsidR="00B61AEB" w:rsidRPr="005B375C">
        <w:rPr>
          <w:rFonts w:ascii="Verdana" w:hAnsi="Verdana"/>
          <w:color w:val="000000"/>
          <w:sz w:val="20"/>
          <w:szCs w:val="22"/>
        </w:rPr>
        <w:t>, bem como as variabilidades, que representam os aspectos que diferem de um produto em relação ao outro.</w:t>
      </w:r>
    </w:p>
    <w:p w14:paraId="4D724730" w14:textId="77777777" w:rsidR="00A415D3" w:rsidRDefault="00A415D3" w:rsidP="00A03075">
      <w:pPr>
        <w:pStyle w:val="Standard"/>
        <w:jc w:val="both"/>
        <w:rPr>
          <w:rFonts w:ascii="Verdana" w:hAnsi="Verdana"/>
          <w:color w:val="000000"/>
          <w:sz w:val="22"/>
          <w:szCs w:val="22"/>
        </w:rPr>
      </w:pPr>
    </w:p>
    <w:p w14:paraId="3421D5AE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II.1 Similaridades</w:t>
      </w:r>
    </w:p>
    <w:p w14:paraId="110F348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0BA93E41" w14:textId="0AE58377" w:rsidR="00E30ED1" w:rsidRDefault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Depósito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Deposit</w:t>
      </w:r>
      <w:proofErr w:type="spellEnd"/>
      <w:r>
        <w:rPr>
          <w:rFonts w:ascii="Verdana" w:hAnsi="Verdana"/>
          <w:color w:val="000000"/>
          <w:sz w:val="20"/>
          <w:szCs w:val="20"/>
        </w:rPr>
        <w:t>) estará presente em todos os produtos;</w:t>
      </w:r>
    </w:p>
    <w:p w14:paraId="6641F1C8" w14:textId="5B1D6EE9" w:rsidR="008203AC" w:rsidRDefault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Criação de conta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AccountCreation</w:t>
      </w:r>
      <w:proofErr w:type="spellEnd"/>
      <w:r>
        <w:rPr>
          <w:rFonts w:ascii="Verdana" w:hAnsi="Verdana"/>
          <w:color w:val="000000"/>
          <w:sz w:val="20"/>
          <w:szCs w:val="20"/>
        </w:rPr>
        <w:t>) é obrigatório em todos os produtos;</w:t>
      </w:r>
    </w:p>
    <w:p w14:paraId="2D500642" w14:textId="2A050D50" w:rsidR="008203AC" w:rsidRDefault="008203AC" w:rsidP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Saque da conta (</w:t>
      </w:r>
      <w:proofErr w:type="spellStart"/>
      <w:r w:rsidR="00C85C5D">
        <w:rPr>
          <w:rFonts w:ascii="Verdana" w:hAnsi="Verdana"/>
          <w:i/>
          <w:color w:val="000000"/>
          <w:sz w:val="20"/>
          <w:szCs w:val="20"/>
        </w:rPr>
        <w:t>W</w:t>
      </w:r>
      <w:r>
        <w:rPr>
          <w:rFonts w:ascii="Verdana" w:hAnsi="Verdana"/>
          <w:i/>
          <w:color w:val="000000"/>
          <w:sz w:val="20"/>
          <w:szCs w:val="20"/>
        </w:rPr>
        <w:t>it</w:t>
      </w:r>
      <w:r w:rsidR="00C85C5D">
        <w:rPr>
          <w:rFonts w:ascii="Verdana" w:hAnsi="Verdana"/>
          <w:i/>
          <w:color w:val="000000"/>
          <w:sz w:val="20"/>
          <w:szCs w:val="20"/>
        </w:rPr>
        <w:t>h</w:t>
      </w:r>
      <w:r>
        <w:rPr>
          <w:rFonts w:ascii="Verdana" w:hAnsi="Verdana"/>
          <w:i/>
          <w:color w:val="000000"/>
          <w:sz w:val="20"/>
          <w:szCs w:val="20"/>
        </w:rPr>
        <w:t>drawFromAccount</w:t>
      </w:r>
      <w:proofErr w:type="spellEnd"/>
      <w:r>
        <w:rPr>
          <w:rFonts w:ascii="Verdana" w:hAnsi="Verdana"/>
          <w:color w:val="000000"/>
          <w:sz w:val="20"/>
          <w:szCs w:val="20"/>
        </w:rPr>
        <w:t>) estará presente em todos os produtos da LPS;</w:t>
      </w:r>
    </w:p>
    <w:p w14:paraId="36BC17F5" w14:textId="09C148A0" w:rsidR="008203AC" w:rsidRDefault="00EA7035" w:rsidP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indicação de que a conta foi criada com sucesso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CreateAccountOK</w:t>
      </w:r>
      <w:proofErr w:type="spellEnd"/>
      <w:r>
        <w:rPr>
          <w:rFonts w:ascii="Verdana" w:hAnsi="Verdana"/>
          <w:color w:val="000000"/>
          <w:sz w:val="20"/>
          <w:szCs w:val="20"/>
        </w:rPr>
        <w:t>) ou com falha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CreateAccountFailed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) deverá ser </w:t>
      </w:r>
      <w:r w:rsidR="00D30980">
        <w:rPr>
          <w:rFonts w:ascii="Verdana" w:hAnsi="Verdana"/>
          <w:color w:val="000000"/>
          <w:sz w:val="20"/>
          <w:szCs w:val="20"/>
        </w:rPr>
        <w:t>indicada em todos os produtos;</w:t>
      </w:r>
    </w:p>
    <w:p w14:paraId="55506F0E" w14:textId="278F71F4" w:rsidR="00D30980" w:rsidRDefault="00D30980" w:rsidP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Definir Moeda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SetCurrency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 xml:space="preserve">) </w:t>
      </w:r>
      <w:r>
        <w:rPr>
          <w:rFonts w:ascii="Verdana" w:hAnsi="Verdana"/>
          <w:color w:val="000000"/>
          <w:sz w:val="20"/>
          <w:szCs w:val="20"/>
        </w:rPr>
        <w:t>é obrigatório em todos os produtos;</w:t>
      </w:r>
    </w:p>
    <w:p w14:paraId="75351F29" w14:textId="1EDC73CE" w:rsidR="00EA7035" w:rsidRPr="008203AC" w:rsidRDefault="00EA7035" w:rsidP="008203AC">
      <w:pPr>
        <w:pStyle w:val="Standard"/>
        <w:numPr>
          <w:ilvl w:val="0"/>
          <w:numId w:val="1"/>
        </w:numPr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indicação de saque realizado com sucesso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WithdrawOk</w:t>
      </w:r>
      <w:proofErr w:type="spellEnd"/>
      <w:r>
        <w:rPr>
          <w:rFonts w:ascii="Verdana" w:hAnsi="Verdana"/>
          <w:color w:val="000000"/>
          <w:sz w:val="20"/>
          <w:szCs w:val="20"/>
        </w:rPr>
        <w:t>) ou saque falhou, ou seja, não foi realizado (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W</w:t>
      </w:r>
      <w:bookmarkStart w:id="0" w:name="_GoBack"/>
      <w:bookmarkEnd w:id="0"/>
      <w:r>
        <w:rPr>
          <w:rFonts w:ascii="Verdana" w:hAnsi="Verdana"/>
          <w:i/>
          <w:color w:val="000000"/>
          <w:sz w:val="20"/>
          <w:szCs w:val="20"/>
        </w:rPr>
        <w:t>ithdrawFailed</w:t>
      </w:r>
      <w:proofErr w:type="spellEnd"/>
      <w:r>
        <w:rPr>
          <w:rFonts w:ascii="Verdana" w:hAnsi="Verdana"/>
          <w:color w:val="000000"/>
          <w:sz w:val="20"/>
          <w:szCs w:val="20"/>
        </w:rPr>
        <w:t>) dever</w:t>
      </w:r>
      <w:r w:rsidR="00D30980">
        <w:rPr>
          <w:rFonts w:ascii="Verdana" w:hAnsi="Verdana"/>
          <w:color w:val="000000"/>
          <w:sz w:val="20"/>
          <w:szCs w:val="20"/>
        </w:rPr>
        <w:t>ão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D30980">
        <w:rPr>
          <w:rFonts w:ascii="Verdana" w:hAnsi="Verdana"/>
          <w:color w:val="000000"/>
          <w:sz w:val="20"/>
          <w:szCs w:val="20"/>
        </w:rPr>
        <w:t xml:space="preserve">estar </w:t>
      </w:r>
      <w:r>
        <w:rPr>
          <w:rFonts w:ascii="Verdana" w:hAnsi="Verdana"/>
          <w:color w:val="000000"/>
          <w:sz w:val="20"/>
          <w:szCs w:val="20"/>
        </w:rPr>
        <w:t>presentes em todos os produtos da LPS.</w:t>
      </w:r>
    </w:p>
    <w:p w14:paraId="4F77A3F1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3BD942D9" w14:textId="77777777" w:rsidR="007017E1" w:rsidRDefault="002E05FB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II.2 Variabilidades</w:t>
      </w:r>
    </w:p>
    <w:p w14:paraId="18E640B2" w14:textId="77777777" w:rsidR="007017E1" w:rsidRDefault="007017E1">
      <w:pPr>
        <w:pStyle w:val="Standard"/>
        <w:rPr>
          <w:rFonts w:ascii="Verdana" w:hAnsi="Verdana"/>
          <w:color w:val="000000"/>
          <w:sz w:val="22"/>
          <w:szCs w:val="22"/>
        </w:rPr>
      </w:pPr>
    </w:p>
    <w:p w14:paraId="5111C909" w14:textId="6302DAF4" w:rsidR="00D30980" w:rsidRDefault="00D30980" w:rsidP="00D30980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cálculo de câmbio é uma funcionalidade opcional, sendo portanto, suportada por apenas alguns produtos, logo estes são classificados como opcionais:</w:t>
      </w:r>
    </w:p>
    <w:p w14:paraId="325A2E72" w14:textId="77777777" w:rsidR="00D30980" w:rsidRPr="00247BDD" w:rsidRDefault="00D30980" w:rsidP="00D30980">
      <w:pPr>
        <w:pStyle w:val="Standard"/>
        <w:numPr>
          <w:ilvl w:val="2"/>
          <w:numId w:val="2"/>
        </w:numPr>
        <w:ind w:left="1843" w:hanging="709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ConvertFromEuro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é opcional; e</w:t>
      </w:r>
    </w:p>
    <w:p w14:paraId="48B48C87" w14:textId="77777777" w:rsidR="00D30980" w:rsidRPr="004B0528" w:rsidRDefault="00D30980" w:rsidP="00D30980">
      <w:pPr>
        <w:pStyle w:val="Standard"/>
        <w:numPr>
          <w:ilvl w:val="2"/>
          <w:numId w:val="2"/>
        </w:numPr>
        <w:ind w:left="1843" w:hanging="709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i/>
          <w:iCs/>
          <w:color w:val="000000"/>
          <w:sz w:val="20"/>
          <w:szCs w:val="20"/>
        </w:rPr>
        <w:t>ConvertToEuro</w:t>
      </w:r>
      <w:proofErr w:type="spellEnd"/>
      <w:r>
        <w:rPr>
          <w:rFonts w:ascii="Verdana" w:hAnsi="Verdana"/>
          <w:i/>
          <w:iCs/>
          <w:color w:val="000000"/>
          <w:sz w:val="20"/>
          <w:szCs w:val="20"/>
        </w:rPr>
        <w:t xml:space="preserve"> </w:t>
      </w:r>
      <w:r>
        <w:rPr>
          <w:rFonts w:ascii="Verdana" w:hAnsi="Verdana"/>
          <w:iCs/>
          <w:color w:val="000000"/>
          <w:sz w:val="20"/>
          <w:szCs w:val="20"/>
        </w:rPr>
        <w:t>é opcional.</w:t>
      </w:r>
    </w:p>
    <w:p w14:paraId="6B2445FA" w14:textId="33F3B25A" w:rsidR="004D3A57" w:rsidRDefault="004D3A57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determinação de um limite (</w:t>
      </w:r>
      <w:proofErr w:type="spellStart"/>
      <w:r w:rsidRPr="004D3A57">
        <w:rPr>
          <w:rFonts w:ascii="Verdana" w:hAnsi="Verdana"/>
          <w:i/>
          <w:sz w:val="20"/>
          <w:szCs w:val="20"/>
        </w:rPr>
        <w:t>SetLimit</w:t>
      </w:r>
      <w:proofErr w:type="spellEnd"/>
      <w:r>
        <w:rPr>
          <w:rFonts w:ascii="Verdana" w:hAnsi="Verdana"/>
          <w:sz w:val="20"/>
          <w:szCs w:val="20"/>
        </w:rPr>
        <w:t>) para contas é opcional</w:t>
      </w:r>
      <w:r w:rsidR="00D30980">
        <w:rPr>
          <w:rFonts w:ascii="Verdana" w:hAnsi="Verdana"/>
          <w:sz w:val="20"/>
          <w:szCs w:val="20"/>
        </w:rPr>
        <w:t>; e</w:t>
      </w:r>
    </w:p>
    <w:p w14:paraId="1326E73C" w14:textId="45294331" w:rsidR="004B0528" w:rsidRDefault="004D3A57" w:rsidP="009E0DAE">
      <w:pPr>
        <w:pStyle w:val="Standard"/>
        <w:numPr>
          <w:ilvl w:val="0"/>
          <w:numId w:val="2"/>
        </w:numPr>
        <w:ind w:left="709" w:hanging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 saque das contas, respeitando o limite (</w:t>
      </w:r>
      <w:proofErr w:type="spellStart"/>
      <w:r w:rsidR="008E1921">
        <w:rPr>
          <w:rFonts w:ascii="Verdana" w:hAnsi="Verdana"/>
          <w:i/>
          <w:sz w:val="20"/>
          <w:szCs w:val="20"/>
        </w:rPr>
        <w:t>WithdrawW</w:t>
      </w:r>
      <w:r w:rsidRPr="004D3A57">
        <w:rPr>
          <w:rFonts w:ascii="Verdana" w:hAnsi="Verdana"/>
          <w:i/>
          <w:sz w:val="20"/>
          <w:szCs w:val="20"/>
        </w:rPr>
        <w:t>i</w:t>
      </w:r>
      <w:r>
        <w:rPr>
          <w:rFonts w:ascii="Verdana" w:hAnsi="Verdana"/>
          <w:i/>
          <w:sz w:val="20"/>
          <w:szCs w:val="20"/>
        </w:rPr>
        <w:t>t</w:t>
      </w:r>
      <w:r w:rsidR="008E1921">
        <w:rPr>
          <w:rFonts w:ascii="Verdana" w:hAnsi="Verdana"/>
          <w:i/>
          <w:sz w:val="20"/>
          <w:szCs w:val="20"/>
        </w:rPr>
        <w:t>h</w:t>
      </w:r>
      <w:r w:rsidRPr="004D3A57">
        <w:rPr>
          <w:rFonts w:ascii="Verdana" w:hAnsi="Verdana"/>
          <w:i/>
          <w:sz w:val="20"/>
          <w:szCs w:val="20"/>
        </w:rPr>
        <w:t>Limit</w:t>
      </w:r>
      <w:proofErr w:type="spellEnd"/>
      <w:r>
        <w:rPr>
          <w:rFonts w:ascii="Verdana" w:hAnsi="Verdana"/>
          <w:sz w:val="20"/>
          <w:szCs w:val="20"/>
        </w:rPr>
        <w:t>) ou não (</w:t>
      </w:r>
      <w:proofErr w:type="spellStart"/>
      <w:r>
        <w:rPr>
          <w:rFonts w:ascii="Verdana" w:hAnsi="Verdana"/>
          <w:i/>
          <w:sz w:val="20"/>
          <w:szCs w:val="20"/>
        </w:rPr>
        <w:t>WithdrawWithoutLimit</w:t>
      </w:r>
      <w:proofErr w:type="spellEnd"/>
      <w:r>
        <w:rPr>
          <w:rFonts w:ascii="Verdana" w:hAnsi="Verdana"/>
          <w:sz w:val="20"/>
          <w:szCs w:val="20"/>
        </w:rPr>
        <w:t>)</w:t>
      </w:r>
      <w:r w:rsidR="00D30980">
        <w:rPr>
          <w:rFonts w:ascii="Verdana" w:hAnsi="Verdana"/>
          <w:sz w:val="20"/>
          <w:szCs w:val="20"/>
        </w:rPr>
        <w:t xml:space="preserve"> corresponde a uma transação alternativa, onde um produto pode ter apenas uma delas.</w:t>
      </w:r>
    </w:p>
    <w:p w14:paraId="09C93F9F" w14:textId="482C3D93" w:rsidR="001D732F" w:rsidRDefault="001D732F">
      <w:pPr>
        <w:suppressAutoHyphens w:val="0"/>
        <w:rPr>
          <w:rFonts w:ascii="Verdana" w:eastAsia="Times New Roman" w:hAnsi="Verdana" w:cs="Times New Roman"/>
          <w:color w:val="000000"/>
          <w:sz w:val="20"/>
          <w:szCs w:val="20"/>
          <w:lang w:val="pt-BR"/>
        </w:rPr>
      </w:pPr>
      <w:r w:rsidRPr="0027418E">
        <w:rPr>
          <w:rFonts w:ascii="Verdana" w:hAnsi="Verdana"/>
          <w:color w:val="000000"/>
          <w:sz w:val="20"/>
          <w:szCs w:val="20"/>
          <w:lang w:val="pt-BR"/>
        </w:rPr>
        <w:br w:type="page"/>
      </w:r>
    </w:p>
    <w:p w14:paraId="64430D29" w14:textId="77777777" w:rsidR="007017E1" w:rsidRDefault="007017E1">
      <w:pPr>
        <w:pStyle w:val="Standard"/>
        <w:rPr>
          <w:rFonts w:ascii="Verdana" w:hAnsi="Verdana"/>
          <w:color w:val="000000"/>
          <w:sz w:val="20"/>
          <w:szCs w:val="20"/>
        </w:rPr>
      </w:pPr>
    </w:p>
    <w:p w14:paraId="5B9FAA50" w14:textId="1BC8268C" w:rsidR="00EF56C1" w:rsidRDefault="00EF56C1" w:rsidP="00EF56C1">
      <w:pPr>
        <w:pStyle w:val="Standard"/>
        <w:rPr>
          <w:rFonts w:ascii="Verdana" w:hAnsi="Verdana"/>
          <w:b/>
          <w:bCs/>
          <w:color w:val="000000"/>
          <w:sz w:val="22"/>
          <w:szCs w:val="22"/>
        </w:rPr>
      </w:pPr>
      <w:r>
        <w:rPr>
          <w:rFonts w:ascii="Verdana" w:hAnsi="Verdana"/>
          <w:b/>
          <w:bCs/>
          <w:color w:val="000000"/>
          <w:sz w:val="22"/>
          <w:szCs w:val="22"/>
        </w:rPr>
        <w:t>III. Descrição dos Elementos</w:t>
      </w:r>
    </w:p>
    <w:p w14:paraId="0236C5E1" w14:textId="77777777" w:rsidR="00EF56C1" w:rsidRDefault="00EF56C1">
      <w:pPr>
        <w:pStyle w:val="Standard"/>
        <w:rPr>
          <w:rFonts w:ascii="Verdana" w:hAnsi="Verdana"/>
          <w:color w:val="000000"/>
          <w:sz w:val="20"/>
          <w:szCs w:val="20"/>
        </w:rPr>
      </w:pPr>
    </w:p>
    <w:tbl>
      <w:tblPr>
        <w:tblW w:w="86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9"/>
        <w:gridCol w:w="5501"/>
      </w:tblGrid>
      <w:tr w:rsidR="00EF56C1" w:rsidRPr="000015F4" w14:paraId="5F3B2E63" w14:textId="77777777" w:rsidTr="001D732F">
        <w:trPr>
          <w:jc w:val="center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40931" w14:textId="6E51594A" w:rsidR="00EF56C1" w:rsidRPr="000015F4" w:rsidRDefault="00EF56C1" w:rsidP="0051045A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</w:rPr>
              <w:t>Elemento</w:t>
            </w:r>
          </w:p>
        </w:tc>
        <w:tc>
          <w:tcPr>
            <w:tcW w:w="5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14B1C" w14:textId="77777777" w:rsidR="00EF56C1" w:rsidRPr="000015F4" w:rsidRDefault="00EF56C1" w:rsidP="0051045A">
            <w:pPr>
              <w:pStyle w:val="TableContents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0015F4">
              <w:rPr>
                <w:rFonts w:ascii="Verdana" w:hAnsi="Verdana"/>
                <w:b/>
                <w:color w:val="FFFFFF"/>
                <w:sz w:val="20"/>
                <w:szCs w:val="20"/>
              </w:rPr>
              <w:t>Descrição</w:t>
            </w:r>
          </w:p>
        </w:tc>
      </w:tr>
      <w:tr w:rsidR="0027418E" w:rsidRPr="000015F4" w14:paraId="1B79216B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F4EE73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Account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CAEC3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Conta</w:t>
            </w:r>
          </w:p>
        </w:tc>
      </w:tr>
      <w:tr w:rsidR="0027418E" w:rsidRPr="000015F4" w14:paraId="6F896CBF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03D0A7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AccountCreation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6854C8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Criação de conta</w:t>
            </w:r>
          </w:p>
        </w:tc>
      </w:tr>
      <w:tr w:rsidR="0027418E" w:rsidRPr="00EF56C1" w14:paraId="61A8102C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1DD167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Bank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F71331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Banco</w:t>
            </w:r>
          </w:p>
        </w:tc>
      </w:tr>
      <w:tr w:rsidR="0027418E" w:rsidRPr="000015F4" w14:paraId="1C326FE5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14BDE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ConvertFromEuro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convertFromEuro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483C00" w14:textId="77777777" w:rsidR="0027418E" w:rsidRPr="000015F4" w:rsidRDefault="0027418E" w:rsidP="00AD70F0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Converter de Euro</w:t>
            </w:r>
          </w:p>
        </w:tc>
      </w:tr>
      <w:tr w:rsidR="0027418E" w:rsidRPr="000015F4" w14:paraId="724DDECE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FB57E4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ConvertToEuro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convertToEuro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67AC68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Converter para Euro</w:t>
            </w:r>
          </w:p>
        </w:tc>
      </w:tr>
      <w:tr w:rsidR="0027418E" w:rsidRPr="000015F4" w14:paraId="65DD5AE7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697A8D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create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F347C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Criar</w:t>
            </w:r>
          </w:p>
        </w:tc>
      </w:tr>
      <w:tr w:rsidR="0027418E" w:rsidRPr="000015F4" w14:paraId="123FB7BC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5324C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CreateAccount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createAccount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977A69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Criação de Conta</w:t>
            </w:r>
          </w:p>
        </w:tc>
      </w:tr>
      <w:tr w:rsidR="0027418E" w:rsidRPr="00C85C5D" w14:paraId="5763E0F0" w14:textId="77777777" w:rsidTr="001D732F">
        <w:trPr>
          <w:jc w:val="center"/>
        </w:trPr>
        <w:tc>
          <w:tcPr>
            <w:tcW w:w="31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785381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CreateAccountFailed</w:t>
            </w:r>
            <w:proofErr w:type="spellEnd"/>
          </w:p>
        </w:tc>
        <w:tc>
          <w:tcPr>
            <w:tcW w:w="55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285C25" w14:textId="77777777" w:rsidR="0027418E" w:rsidRPr="000015F4" w:rsidRDefault="0027418E" w:rsidP="00051F48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Criação da Conta não realizada </w:t>
            </w:r>
          </w:p>
        </w:tc>
      </w:tr>
      <w:tr w:rsidR="0027418E" w:rsidRPr="00C85C5D" w14:paraId="16460C63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B94DCD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CreateAccountOK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EA798E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Criação de Conta realizada com sucesso</w:t>
            </w:r>
          </w:p>
        </w:tc>
      </w:tr>
      <w:tr w:rsidR="0027418E" w:rsidRPr="000015F4" w14:paraId="64F5D88E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55F69A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Deposit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deposit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2341C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Depósito</w:t>
            </w:r>
          </w:p>
        </w:tc>
      </w:tr>
      <w:tr w:rsidR="0027418E" w:rsidRPr="00BE4B56" w14:paraId="60A83431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81BD3E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depositMessage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5BE73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Mensagem de depósito</w:t>
            </w:r>
          </w:p>
        </w:tc>
      </w:tr>
      <w:tr w:rsidR="0027418E" w:rsidRPr="00BE4B56" w14:paraId="62506215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723BA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depositOnAccount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526DF0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Depósito na conta</w:t>
            </w:r>
          </w:p>
        </w:tc>
      </w:tr>
      <w:tr w:rsidR="0027418E" w:rsidRPr="00BE4B56" w14:paraId="6EC0903E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CFADEC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fromEuro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01EF5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 Euro</w:t>
            </w:r>
          </w:p>
        </w:tc>
      </w:tr>
      <w:tr w:rsidR="0027418E" w:rsidRPr="001D732F" w14:paraId="2B6E3649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A8272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insufficientBalance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B4D38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Saldo insuficiente</w:t>
            </w:r>
          </w:p>
        </w:tc>
      </w:tr>
      <w:tr w:rsidR="0027418E" w:rsidRPr="00C85C5D" w14:paraId="529A4516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25594C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insufficientMessage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DF9D17" w14:textId="77777777" w:rsidR="0027418E" w:rsidRPr="000015F4" w:rsidRDefault="0027418E" w:rsidP="001D732F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Mensagem insuficiente (reporta insuficiência em alguma exigência nas transações)</w:t>
            </w:r>
          </w:p>
        </w:tc>
      </w:tr>
      <w:tr w:rsidR="0027418E" w:rsidRPr="000015F4" w14:paraId="50DE99FB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592CA5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SetCurrency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setCurrency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26CA4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Definir Moeda </w:t>
            </w:r>
          </w:p>
        </w:tc>
      </w:tr>
      <w:tr w:rsidR="0027418E" w:rsidRPr="000015F4" w14:paraId="5EAA98EB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C61A30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SetLimit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setLimit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E75B68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Definir limite</w:t>
            </w:r>
          </w:p>
        </w:tc>
      </w:tr>
      <w:tr w:rsidR="0027418E" w:rsidRPr="001D732F" w14:paraId="15A9B7A9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95E30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sufficientBalance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5F4A14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Saldo suficiente</w:t>
            </w:r>
          </w:p>
        </w:tc>
      </w:tr>
      <w:tr w:rsidR="0027418E" w:rsidRPr="00BE4B56" w14:paraId="403591CD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F7926E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verifyBalance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95D19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Verificar saldo</w:t>
            </w:r>
          </w:p>
        </w:tc>
      </w:tr>
      <w:tr w:rsidR="0027418E" w:rsidRPr="001D732F" w14:paraId="29458A8F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739EA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verifyLimit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5BB0C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Verificar limite</w:t>
            </w:r>
          </w:p>
        </w:tc>
      </w:tr>
      <w:tr w:rsidR="0027418E" w:rsidRPr="000015F4" w14:paraId="09CD80E2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E16990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9B9C71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</w:t>
            </w:r>
          </w:p>
        </w:tc>
      </w:tr>
      <w:tr w:rsidR="0027418E" w:rsidRPr="000015F4" w14:paraId="2220C47F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D60BCF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WithdrawFailed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8FD665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 não realizado</w:t>
            </w:r>
          </w:p>
        </w:tc>
      </w:tr>
      <w:tr w:rsidR="0027418E" w:rsidRPr="000015F4" w14:paraId="6748CB39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1F13E0" w14:textId="77777777" w:rsidR="0027418E" w:rsidRPr="000015F4" w:rsidRDefault="0027418E" w:rsidP="00051F48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WithdrawFromAccount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withdrawFromAccount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A6D1C" w14:textId="77777777" w:rsidR="0027418E" w:rsidRPr="000015F4" w:rsidRDefault="0027418E" w:rsidP="00051F48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 da Conta</w:t>
            </w:r>
          </w:p>
        </w:tc>
      </w:tr>
      <w:tr w:rsidR="0027418E" w:rsidRPr="00C85C5D" w14:paraId="53039425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A933CE" w14:textId="77777777" w:rsidR="0027418E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withdrawMessage</w:t>
            </w:r>
            <w:proofErr w:type="spell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354777" w14:textId="77777777" w:rsidR="0027418E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Mensagem de saque (reporta a realização do saque)</w:t>
            </w:r>
          </w:p>
        </w:tc>
      </w:tr>
      <w:tr w:rsidR="0027418E" w:rsidRPr="000015F4" w14:paraId="0B761E69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72948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WithdrawOK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D780D3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 realizado com sucesso</w:t>
            </w:r>
          </w:p>
        </w:tc>
      </w:tr>
      <w:tr w:rsidR="0027418E" w:rsidRPr="00EF56C1" w14:paraId="764E0CA8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94A02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WithdrawWithLimit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18FA7B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 com limite</w:t>
            </w:r>
          </w:p>
        </w:tc>
      </w:tr>
      <w:tr w:rsidR="0027418E" w:rsidRPr="000015F4" w14:paraId="6CBB5A93" w14:textId="77777777" w:rsidTr="001D732F">
        <w:trPr>
          <w:jc w:val="center"/>
        </w:trPr>
        <w:tc>
          <w:tcPr>
            <w:tcW w:w="31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89047" w14:textId="77777777" w:rsidR="0027418E" w:rsidRPr="000015F4" w:rsidRDefault="0027418E" w:rsidP="0051045A">
            <w:pPr>
              <w:pStyle w:val="Standard"/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WithdrawWithoutLimit</w:t>
            </w:r>
            <w:proofErr w:type="spellEnd"/>
          </w:p>
        </w:tc>
        <w:tc>
          <w:tcPr>
            <w:tcW w:w="55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D3C864" w14:textId="77777777" w:rsidR="0027418E" w:rsidRPr="000015F4" w:rsidRDefault="0027418E" w:rsidP="0051045A">
            <w:pPr>
              <w:pStyle w:val="TableContents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Saque sem limite</w:t>
            </w:r>
          </w:p>
        </w:tc>
      </w:tr>
    </w:tbl>
    <w:p w14:paraId="21A6CA85" w14:textId="77777777" w:rsidR="00EF56C1" w:rsidRPr="008E1921" w:rsidRDefault="00EF56C1">
      <w:pPr>
        <w:pStyle w:val="Standard"/>
        <w:rPr>
          <w:rFonts w:ascii="Verdana" w:hAnsi="Verdana"/>
          <w:color w:val="000000"/>
          <w:sz w:val="20"/>
          <w:szCs w:val="20"/>
          <w:u w:val="single"/>
        </w:rPr>
      </w:pPr>
    </w:p>
    <w:sectPr w:rsidR="00EF56C1" w:rsidRPr="008E1921" w:rsidSect="00C83E4F">
      <w:footerReference w:type="default" r:id="rId7"/>
      <w:pgSz w:w="12240" w:h="15840"/>
      <w:pgMar w:top="851" w:right="851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EC3F7" w14:textId="77777777" w:rsidR="00706FE5" w:rsidRDefault="00706FE5">
      <w:r>
        <w:separator/>
      </w:r>
    </w:p>
  </w:endnote>
  <w:endnote w:type="continuationSeparator" w:id="0">
    <w:p w14:paraId="37C55E36" w14:textId="77777777" w:rsidR="00706FE5" w:rsidRDefault="0070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7E12079" w14:textId="3208D9D5" w:rsidR="005F15C9" w:rsidRPr="005F15C9" w:rsidRDefault="005F15C9">
        <w:pPr>
          <w:pStyle w:val="Rodap"/>
          <w:jc w:val="right"/>
          <w:rPr>
            <w:rFonts w:ascii="Verdana" w:hAnsi="Verdana"/>
            <w:lang w:val="pt-BR"/>
          </w:rPr>
        </w:pPr>
        <w:proofErr w:type="spellStart"/>
        <w:r w:rsidRPr="001F49D1">
          <w:rPr>
            <w:rFonts w:ascii="Verdana" w:hAnsi="Verdana"/>
            <w:i/>
            <w:sz w:val="14"/>
            <w:szCs w:val="14"/>
            <w:lang w:val="pt-BR"/>
          </w:rPr>
          <w:t>Ele</w:t>
        </w:r>
        <w:r w:rsidR="009A0151">
          <w:rPr>
            <w:rFonts w:ascii="Verdana" w:hAnsi="Verdana"/>
            <w:i/>
            <w:sz w:val="14"/>
            <w:szCs w:val="14"/>
            <w:lang w:val="pt-BR"/>
          </w:rPr>
          <w:t>c</w:t>
        </w:r>
        <w:r w:rsidRPr="001F49D1">
          <w:rPr>
            <w:rFonts w:ascii="Verdana" w:hAnsi="Verdana"/>
            <w:i/>
            <w:sz w:val="14"/>
            <w:szCs w:val="14"/>
            <w:lang w:val="pt-BR"/>
          </w:rPr>
          <w:t>tronic</w:t>
        </w:r>
        <w:proofErr w:type="spellEnd"/>
        <w:r w:rsidRPr="001F49D1">
          <w:rPr>
            <w:rFonts w:ascii="Verdana" w:hAnsi="Verdana"/>
            <w:i/>
            <w:sz w:val="14"/>
            <w:szCs w:val="14"/>
            <w:lang w:val="pt-BR"/>
          </w:rPr>
          <w:t xml:space="preserve"> </w:t>
        </w:r>
        <w:proofErr w:type="spellStart"/>
        <w:r w:rsidRPr="001F49D1">
          <w:rPr>
            <w:rFonts w:ascii="Verdana" w:hAnsi="Verdana"/>
            <w:i/>
            <w:sz w:val="14"/>
            <w:szCs w:val="14"/>
            <w:lang w:val="pt-BR"/>
          </w:rPr>
          <w:t>Commerce</w:t>
        </w:r>
        <w:proofErr w:type="spellEnd"/>
        <w:r w:rsidRPr="001F49D1">
          <w:rPr>
            <w:rFonts w:ascii="Verdana" w:hAnsi="Verdana"/>
            <w:i/>
            <w:sz w:val="14"/>
            <w:szCs w:val="14"/>
            <w:lang w:val="pt-BR"/>
          </w:rPr>
          <w:t>:</w:t>
        </w:r>
        <w:r w:rsidRPr="001F49D1">
          <w:rPr>
            <w:rFonts w:ascii="Verdana" w:hAnsi="Verdana"/>
            <w:sz w:val="14"/>
            <w:szCs w:val="14"/>
            <w:lang w:val="pt-BR"/>
          </w:rPr>
          <w:t xml:space="preserve"> </w:t>
        </w:r>
        <w:r>
          <w:rPr>
            <w:rFonts w:ascii="Verdana" w:hAnsi="Verdana"/>
            <w:sz w:val="14"/>
            <w:szCs w:val="14"/>
            <w:lang w:val="pt-BR"/>
          </w:rPr>
          <w:t>Descrição Geral da Linha de Produto</w:t>
        </w:r>
        <w:r>
          <w:rPr>
            <w:rFonts w:ascii="Verdana" w:hAnsi="Verdana"/>
            <w:sz w:val="14"/>
            <w:szCs w:val="14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</w:r>
        <w:r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Pr="005F15C9">
          <w:rPr>
            <w:rFonts w:ascii="Verdana" w:hAnsi="Verdana"/>
          </w:rPr>
          <w:fldChar w:fldCharType="begin"/>
        </w:r>
        <w:r w:rsidRPr="005F15C9">
          <w:rPr>
            <w:rFonts w:ascii="Verdana" w:hAnsi="Verdana"/>
            <w:lang w:val="pt-BR"/>
          </w:rPr>
          <w:instrText>PAGE   \* MERGEFORMAT</w:instrText>
        </w:r>
        <w:r w:rsidRPr="005F15C9">
          <w:rPr>
            <w:rFonts w:ascii="Verdana" w:hAnsi="Verdana"/>
          </w:rPr>
          <w:fldChar w:fldCharType="separate"/>
        </w:r>
        <w:r w:rsidR="00C85C5D">
          <w:rPr>
            <w:rFonts w:ascii="Verdana" w:hAnsi="Verdana"/>
            <w:noProof/>
            <w:lang w:val="pt-BR"/>
          </w:rPr>
          <w:t>2</w:t>
        </w:r>
        <w:r w:rsidRPr="005F15C9">
          <w:rPr>
            <w:rFonts w:ascii="Verdana" w:hAnsi="Verdana"/>
          </w:rPr>
          <w:fldChar w:fldCharType="end"/>
        </w:r>
      </w:p>
    </w:sdtContent>
  </w:sdt>
  <w:p w14:paraId="32A77BA7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CD60F" w14:textId="77777777" w:rsidR="00706FE5" w:rsidRDefault="00706FE5">
      <w:r>
        <w:rPr>
          <w:color w:val="000000"/>
        </w:rPr>
        <w:separator/>
      </w:r>
    </w:p>
  </w:footnote>
  <w:footnote w:type="continuationSeparator" w:id="0">
    <w:p w14:paraId="3CC84A36" w14:textId="77777777" w:rsidR="00706FE5" w:rsidRDefault="0070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66161"/>
    <w:multiLevelType w:val="hybridMultilevel"/>
    <w:tmpl w:val="15942CA0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567A36"/>
    <w:multiLevelType w:val="multilevel"/>
    <w:tmpl w:val="93209A0E"/>
    <w:lvl w:ilvl="0">
      <w:start w:val="1"/>
      <w:numFmt w:val="decimal"/>
      <w:lvlText w:val="UC%1."/>
      <w:lvlJc w:val="left"/>
      <w:pPr>
        <w:ind w:left="644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1"/>
  </w:num>
  <w:num w:numId="6">
    <w:abstractNumId w:val="6"/>
  </w:num>
  <w:num w:numId="7">
    <w:abstractNumId w:val="2"/>
  </w:num>
  <w:num w:numId="8">
    <w:abstractNumId w:val="12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5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E1"/>
    <w:rsid w:val="000015F4"/>
    <w:rsid w:val="00051F48"/>
    <w:rsid w:val="00067F3C"/>
    <w:rsid w:val="000917D4"/>
    <w:rsid w:val="000C3656"/>
    <w:rsid w:val="00127BA6"/>
    <w:rsid w:val="001B2B28"/>
    <w:rsid w:val="001D732F"/>
    <w:rsid w:val="001E2922"/>
    <w:rsid w:val="002245D1"/>
    <w:rsid w:val="00225B63"/>
    <w:rsid w:val="00245D0D"/>
    <w:rsid w:val="00246D12"/>
    <w:rsid w:val="00247BDD"/>
    <w:rsid w:val="00254BFB"/>
    <w:rsid w:val="0027418E"/>
    <w:rsid w:val="00285634"/>
    <w:rsid w:val="002B398C"/>
    <w:rsid w:val="002D1E46"/>
    <w:rsid w:val="002E05FB"/>
    <w:rsid w:val="00314174"/>
    <w:rsid w:val="00345D3D"/>
    <w:rsid w:val="00373C10"/>
    <w:rsid w:val="00374486"/>
    <w:rsid w:val="003A7751"/>
    <w:rsid w:val="003D1E02"/>
    <w:rsid w:val="00407B20"/>
    <w:rsid w:val="004342C7"/>
    <w:rsid w:val="00440600"/>
    <w:rsid w:val="0046110A"/>
    <w:rsid w:val="00471901"/>
    <w:rsid w:val="00485953"/>
    <w:rsid w:val="004B0528"/>
    <w:rsid w:val="004D3A57"/>
    <w:rsid w:val="004E2DAA"/>
    <w:rsid w:val="00533300"/>
    <w:rsid w:val="00584824"/>
    <w:rsid w:val="005B375C"/>
    <w:rsid w:val="005B5193"/>
    <w:rsid w:val="005C68B0"/>
    <w:rsid w:val="005D40B0"/>
    <w:rsid w:val="005F15C9"/>
    <w:rsid w:val="005F20AE"/>
    <w:rsid w:val="005F27B9"/>
    <w:rsid w:val="006419D8"/>
    <w:rsid w:val="00646B1F"/>
    <w:rsid w:val="006574A8"/>
    <w:rsid w:val="0067406B"/>
    <w:rsid w:val="00681F2D"/>
    <w:rsid w:val="006E6B49"/>
    <w:rsid w:val="007017E1"/>
    <w:rsid w:val="00706FE5"/>
    <w:rsid w:val="00720AF1"/>
    <w:rsid w:val="007306E5"/>
    <w:rsid w:val="00746548"/>
    <w:rsid w:val="008203AC"/>
    <w:rsid w:val="00824775"/>
    <w:rsid w:val="00842691"/>
    <w:rsid w:val="00886D6F"/>
    <w:rsid w:val="008C0D99"/>
    <w:rsid w:val="008E1921"/>
    <w:rsid w:val="0090082A"/>
    <w:rsid w:val="00920DA6"/>
    <w:rsid w:val="00950466"/>
    <w:rsid w:val="009A0151"/>
    <w:rsid w:val="009A0286"/>
    <w:rsid w:val="009B17C3"/>
    <w:rsid w:val="009E0DAE"/>
    <w:rsid w:val="00A03075"/>
    <w:rsid w:val="00A05F66"/>
    <w:rsid w:val="00A415D3"/>
    <w:rsid w:val="00A65E16"/>
    <w:rsid w:val="00A83072"/>
    <w:rsid w:val="00AA00D5"/>
    <w:rsid w:val="00AC4A1E"/>
    <w:rsid w:val="00AD70F0"/>
    <w:rsid w:val="00B4473C"/>
    <w:rsid w:val="00B51F02"/>
    <w:rsid w:val="00B61AEB"/>
    <w:rsid w:val="00B636C3"/>
    <w:rsid w:val="00BD02B1"/>
    <w:rsid w:val="00BE4B56"/>
    <w:rsid w:val="00BE57E8"/>
    <w:rsid w:val="00BF2FF2"/>
    <w:rsid w:val="00C00954"/>
    <w:rsid w:val="00C01B23"/>
    <w:rsid w:val="00C406D7"/>
    <w:rsid w:val="00C42EF7"/>
    <w:rsid w:val="00C56A45"/>
    <w:rsid w:val="00C83E4F"/>
    <w:rsid w:val="00C85C5D"/>
    <w:rsid w:val="00C87342"/>
    <w:rsid w:val="00CF7030"/>
    <w:rsid w:val="00D30980"/>
    <w:rsid w:val="00D56386"/>
    <w:rsid w:val="00D64B1D"/>
    <w:rsid w:val="00D70A17"/>
    <w:rsid w:val="00DE1FBA"/>
    <w:rsid w:val="00DF037A"/>
    <w:rsid w:val="00E30ED1"/>
    <w:rsid w:val="00E35F8F"/>
    <w:rsid w:val="00EA0F72"/>
    <w:rsid w:val="00EA3F88"/>
    <w:rsid w:val="00EA7035"/>
    <w:rsid w:val="00EE7A3A"/>
    <w:rsid w:val="00EF56C1"/>
    <w:rsid w:val="00F85C69"/>
    <w:rsid w:val="00F94E70"/>
    <w:rsid w:val="00FC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6C874"/>
  <w15:docId w15:val="{50546183-7CF3-4133-AF5C-3B34EAE5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345D3D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D3D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0015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A65E16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A65E16"/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A65E16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65E16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65E16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BE57E8"/>
    <w:pPr>
      <w:widowControl/>
      <w:autoSpaceDN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553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Kirk</dc:creator>
  <cp:lastModifiedBy>Anderson</cp:lastModifiedBy>
  <cp:revision>9</cp:revision>
  <cp:lastPrinted>2012-11-01T12:56:00Z</cp:lastPrinted>
  <dcterms:created xsi:type="dcterms:W3CDTF">2013-08-29T12:42:00Z</dcterms:created>
  <dcterms:modified xsi:type="dcterms:W3CDTF">2013-11-01T16:26:00Z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